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E5A2" w14:textId="77777777" w:rsidR="00000000" w:rsidRDefault="00405FAE">
      <w:pPr>
        <w:pStyle w:val="ConsPlusNormal"/>
        <w:spacing w:before="200"/>
      </w:pPr>
    </w:p>
    <w:p w14:paraId="63EC2FF9" w14:textId="77777777" w:rsidR="00000000" w:rsidRDefault="00405FAE">
      <w:pPr>
        <w:pStyle w:val="ConsPlusTitle"/>
        <w:jc w:val="center"/>
        <w:outlineLvl w:val="0"/>
      </w:pPr>
      <w:r>
        <w:t>ПРИКАЗ МИНИСТЕРСТВА ЗДРАВООХРАНЕНИЯ РЕСПУБЛИКИ БЕЛАРУСЬ</w:t>
      </w:r>
    </w:p>
    <w:p w14:paraId="76F93F2B" w14:textId="77777777" w:rsidR="00000000" w:rsidRDefault="00405FAE">
      <w:pPr>
        <w:pStyle w:val="ConsPlusTitle"/>
        <w:jc w:val="center"/>
      </w:pPr>
      <w:r>
        <w:t>24 августа 2022 г. N 1100</w:t>
      </w:r>
    </w:p>
    <w:p w14:paraId="52F93B0C" w14:textId="77777777" w:rsidR="00000000" w:rsidRDefault="00405FAE">
      <w:pPr>
        <w:pStyle w:val="ConsPlusTitle"/>
        <w:jc w:val="center"/>
      </w:pPr>
    </w:p>
    <w:p w14:paraId="3E5B20E3" w14:textId="77777777" w:rsidR="00000000" w:rsidRDefault="00405FAE">
      <w:pPr>
        <w:pStyle w:val="ConsPlusTitle"/>
        <w:jc w:val="center"/>
      </w:pPr>
      <w:r>
        <w:t>О ПОРЯДКЕ ОКАЗАНИЯ МЕДИЦИНСКОЙ ПОМОЩИ В МЕЖРАЙОННОМ ЦЕНТРЕ</w:t>
      </w:r>
    </w:p>
    <w:p w14:paraId="49098306" w14:textId="77777777" w:rsidR="00000000" w:rsidRDefault="00405FA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160E5D3B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0CF45FDD" w14:textId="77777777" w:rsidR="00000000" w:rsidRDefault="00405FA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Минздрава от 02.04.2024 N 464)</w:t>
            </w:r>
          </w:p>
        </w:tc>
      </w:tr>
    </w:tbl>
    <w:p w14:paraId="401B5FE6" w14:textId="77777777" w:rsidR="00000000" w:rsidRDefault="00405FAE">
      <w:pPr>
        <w:pStyle w:val="ConsPlusNormal"/>
        <w:jc w:val="both"/>
      </w:pPr>
    </w:p>
    <w:p w14:paraId="753ACE9F" w14:textId="77777777" w:rsidR="00000000" w:rsidRDefault="00405FAE">
      <w:pPr>
        <w:pStyle w:val="ConsPlusNormal"/>
        <w:ind w:firstLine="540"/>
        <w:jc w:val="both"/>
      </w:pPr>
      <w:r>
        <w:t>На основании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1446, в целях обесп</w:t>
      </w:r>
      <w:r>
        <w:t>ечения доступности и повышения качества оказания специализированной и высокотехнологичной медицинской помощи пациентам ПРИКАЗЫВАЮ:</w:t>
      </w:r>
    </w:p>
    <w:p w14:paraId="6C15A252" w14:textId="77777777" w:rsidR="00000000" w:rsidRDefault="00405FAE">
      <w:pPr>
        <w:pStyle w:val="ConsPlusNormal"/>
        <w:spacing w:before="200"/>
        <w:ind w:firstLine="540"/>
        <w:jc w:val="both"/>
      </w:pPr>
      <w:r>
        <w:t>1. Утвердить:</w:t>
      </w:r>
    </w:p>
    <w:p w14:paraId="150107AC" w14:textId="77777777" w:rsidR="00000000" w:rsidRDefault="00405FAE">
      <w:pPr>
        <w:pStyle w:val="ConsPlusNormal"/>
        <w:spacing w:before="200"/>
        <w:ind w:firstLine="540"/>
        <w:jc w:val="both"/>
      </w:pPr>
      <w:r>
        <w:t>Инструкцию о порядке оказания медицинской помощи пациентам с острым коронарным синдромом в межрайонном центре (</w:t>
      </w:r>
      <w:r>
        <w:t>прилагается);</w:t>
      </w:r>
    </w:p>
    <w:p w14:paraId="639009E7" w14:textId="77777777" w:rsidR="00000000" w:rsidRDefault="00405FAE">
      <w:pPr>
        <w:pStyle w:val="ConsPlusNormal"/>
        <w:spacing w:before="200"/>
        <w:ind w:firstLine="540"/>
        <w:jc w:val="both"/>
      </w:pPr>
      <w:r>
        <w:t>Инструкцию о порядке оказания медицинской помощи пациентам с острым нарушением мозгового кровообращения в межрайонном центре (прилагается).</w:t>
      </w:r>
    </w:p>
    <w:p w14:paraId="27D8DA81" w14:textId="77777777" w:rsidR="00000000" w:rsidRDefault="00405FAE">
      <w:pPr>
        <w:pStyle w:val="ConsPlusNormal"/>
        <w:spacing w:before="200"/>
        <w:ind w:firstLine="540"/>
        <w:jc w:val="both"/>
      </w:pPr>
      <w:r>
        <w:t>2. Директору государственного учреждения "Республиканский научно-практический центр "Кардиология" Мить</w:t>
      </w:r>
      <w:r>
        <w:t>ковской Н.П., директору государственного учреждения "Республиканский научно-практический центр неврологии и нейрохирургии" Сидоровичу Р.Р.:</w:t>
      </w:r>
    </w:p>
    <w:p w14:paraId="45435CCE" w14:textId="77777777" w:rsidR="00000000" w:rsidRDefault="00405FAE">
      <w:pPr>
        <w:pStyle w:val="ConsPlusNormal"/>
        <w:spacing w:before="200"/>
        <w:ind w:firstLine="540"/>
        <w:jc w:val="both"/>
      </w:pPr>
      <w:r>
        <w:t>2.1. обеспечить оказание организационно-методической помощи главным управлениям по здравоохранению областных исполни</w:t>
      </w:r>
      <w:r>
        <w:t>тельных комитетов, организациям здравоохранения, в которых функционирует межрайонный центр по организации специализированной и высокотехнологичной медицинской помощи (далее - межрайонный центр);</w:t>
      </w:r>
    </w:p>
    <w:p w14:paraId="444C31CA" w14:textId="77777777" w:rsidR="00000000" w:rsidRDefault="00405FAE">
      <w:pPr>
        <w:pStyle w:val="ConsPlusNormal"/>
        <w:spacing w:before="200"/>
        <w:ind w:firstLine="540"/>
        <w:jc w:val="both"/>
      </w:pPr>
      <w:r>
        <w:t>2.2. доработать формы ведомственной статистической отчетности</w:t>
      </w:r>
      <w:r>
        <w:t xml:space="preserve"> с учетом организации оказания медицинской помощи в межрайонных центрах и представить их в главное управление организации медицинской помощи Министерства здравоохранения в срок не позднее 1 декабря 2022 г.;</w:t>
      </w:r>
    </w:p>
    <w:p w14:paraId="3A1EDBE3" w14:textId="77777777" w:rsidR="00000000" w:rsidRDefault="00405FAE">
      <w:pPr>
        <w:pStyle w:val="ConsPlusNormal"/>
        <w:spacing w:before="200"/>
        <w:ind w:firstLine="540"/>
        <w:jc w:val="both"/>
      </w:pPr>
      <w:r>
        <w:t>2.3. провести анализ эффективности работы межрайо</w:t>
      </w:r>
      <w:r>
        <w:t xml:space="preserve">нных центров по итогам работы за 2022 год и предоставить информацию с выводами и предложениями по дальнейшему совершенствованию работы межрайонных центров в главное управление организации медицинской помощи Министерства здравоохранения в срок не позднее 1 </w:t>
      </w:r>
      <w:r>
        <w:t>февраля 2023 г.</w:t>
      </w:r>
    </w:p>
    <w:p w14:paraId="4CE67492" w14:textId="77777777" w:rsidR="00000000" w:rsidRDefault="00405FAE">
      <w:pPr>
        <w:pStyle w:val="ConsPlusNormal"/>
        <w:spacing w:before="200"/>
        <w:ind w:firstLine="540"/>
        <w:jc w:val="both"/>
      </w:pPr>
      <w:r>
        <w:t>3. Начальникам главных управлений по здравоохранению областных исполнительных комитетов:</w:t>
      </w:r>
    </w:p>
    <w:p w14:paraId="4012EE77" w14:textId="77777777" w:rsidR="00000000" w:rsidRDefault="00405FAE">
      <w:pPr>
        <w:pStyle w:val="ConsPlusNormal"/>
        <w:spacing w:before="200"/>
        <w:ind w:firstLine="540"/>
        <w:jc w:val="both"/>
      </w:pPr>
      <w:r>
        <w:t>3.1. разработать и согласовать в государственном учреждении "Республиканский научно-практический центр "Кардиология", государственном учреждении "Республиканский научно-практический центр неврологии и нейрохирургии" Дорожную карту по оказанию медицинской п</w:t>
      </w:r>
      <w:r>
        <w:t>омощи пациентам с острым коронарным синдромом и с острым нарушением мозгового кровообращения с учетом создания межрайонных центров;</w:t>
      </w:r>
    </w:p>
    <w:p w14:paraId="31531483" w14:textId="77777777" w:rsidR="00000000" w:rsidRDefault="00405FAE">
      <w:pPr>
        <w:pStyle w:val="ConsPlusNormal"/>
        <w:spacing w:before="200"/>
        <w:ind w:firstLine="540"/>
        <w:jc w:val="both"/>
      </w:pPr>
      <w:r>
        <w:t>3.2. организовать и обеспечить работу межрайонных центров в организациях здравоохранения в соответствии с настоящим приказом</w:t>
      </w:r>
      <w:r>
        <w:t>.</w:t>
      </w:r>
    </w:p>
    <w:p w14:paraId="5B46B1CA" w14:textId="77777777" w:rsidR="00000000" w:rsidRDefault="00405FAE">
      <w:pPr>
        <w:pStyle w:val="ConsPlusNormal"/>
        <w:spacing w:before="200"/>
        <w:ind w:firstLine="540"/>
        <w:jc w:val="both"/>
      </w:pPr>
      <w:r>
        <w:t>4. Контроль за исполнением настоящего приказа возложить на первого заместителя Министра Кроткову Е.Н.</w:t>
      </w:r>
    </w:p>
    <w:p w14:paraId="421F882C" w14:textId="77777777" w:rsidR="00000000" w:rsidRDefault="00405FAE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5A82BC58" w14:textId="77777777">
        <w:tc>
          <w:tcPr>
            <w:tcW w:w="5103" w:type="dxa"/>
          </w:tcPr>
          <w:p w14:paraId="4EB7C824" w14:textId="77777777" w:rsidR="00000000" w:rsidRDefault="00405FAE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7B85E3D7" w14:textId="77777777" w:rsidR="00000000" w:rsidRDefault="00405FAE">
            <w:pPr>
              <w:pStyle w:val="ConsPlusNormal"/>
              <w:jc w:val="right"/>
            </w:pPr>
            <w:r>
              <w:t>Д.Л.Пиневич</w:t>
            </w:r>
          </w:p>
        </w:tc>
      </w:tr>
    </w:tbl>
    <w:p w14:paraId="648064F1" w14:textId="77777777" w:rsidR="00000000" w:rsidRDefault="00405FAE">
      <w:pPr>
        <w:pStyle w:val="ConsPlusNormal"/>
        <w:jc w:val="both"/>
      </w:pPr>
    </w:p>
    <w:p w14:paraId="2CAD5DC0" w14:textId="77777777" w:rsidR="00000000" w:rsidRDefault="00405FAE">
      <w:pPr>
        <w:pStyle w:val="ConsPlusNormal"/>
        <w:jc w:val="both"/>
      </w:pPr>
    </w:p>
    <w:p w14:paraId="11F24D51" w14:textId="77777777" w:rsidR="00000000" w:rsidRDefault="00405FAE">
      <w:pPr>
        <w:pStyle w:val="ConsPlusNormal"/>
        <w:jc w:val="both"/>
      </w:pPr>
    </w:p>
    <w:p w14:paraId="178CE99B" w14:textId="77777777" w:rsidR="00000000" w:rsidRDefault="00405FAE">
      <w:pPr>
        <w:pStyle w:val="ConsPlusNormal"/>
        <w:jc w:val="both"/>
      </w:pPr>
    </w:p>
    <w:p w14:paraId="13EA963C" w14:textId="77777777" w:rsidR="00000000" w:rsidRDefault="00405FAE">
      <w:pPr>
        <w:pStyle w:val="ConsPlusNormal"/>
        <w:jc w:val="both"/>
      </w:pPr>
    </w:p>
    <w:p w14:paraId="299234BE" w14:textId="77777777" w:rsidR="00000000" w:rsidRDefault="00405FAE">
      <w:pPr>
        <w:pStyle w:val="ConsPlusNonformat"/>
        <w:jc w:val="both"/>
      </w:pPr>
      <w:r>
        <w:t xml:space="preserve">                                               УТВЕРЖДЕНО</w:t>
      </w:r>
    </w:p>
    <w:p w14:paraId="68FE38A9" w14:textId="77777777" w:rsidR="00000000" w:rsidRDefault="00405FAE">
      <w:pPr>
        <w:pStyle w:val="ConsPlusNonformat"/>
        <w:jc w:val="both"/>
      </w:pPr>
      <w:r>
        <w:lastRenderedPageBreak/>
        <w:t xml:space="preserve">                                               Приказ</w:t>
      </w:r>
    </w:p>
    <w:p w14:paraId="7BD08ADA" w14:textId="77777777" w:rsidR="00000000" w:rsidRDefault="00405FAE">
      <w:pPr>
        <w:pStyle w:val="ConsPlusNonformat"/>
        <w:jc w:val="both"/>
      </w:pPr>
      <w:r>
        <w:t xml:space="preserve">             </w:t>
      </w:r>
      <w:r>
        <w:t xml:space="preserve">                                  Министерства здравоохранения</w:t>
      </w:r>
    </w:p>
    <w:p w14:paraId="0A6BB6C6" w14:textId="77777777" w:rsidR="00000000" w:rsidRDefault="00405FAE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614F7ADB" w14:textId="77777777" w:rsidR="00000000" w:rsidRDefault="00405FAE">
      <w:pPr>
        <w:pStyle w:val="ConsPlusNonformat"/>
        <w:jc w:val="both"/>
      </w:pPr>
      <w:r>
        <w:t xml:space="preserve">                                               24.08.2022 N 1100</w:t>
      </w:r>
    </w:p>
    <w:p w14:paraId="412914DA" w14:textId="77777777" w:rsidR="00000000" w:rsidRDefault="00405FAE">
      <w:pPr>
        <w:pStyle w:val="ConsPlusNormal"/>
        <w:jc w:val="both"/>
      </w:pPr>
    </w:p>
    <w:p w14:paraId="6011BB3F" w14:textId="77777777" w:rsidR="00000000" w:rsidRDefault="00405FAE">
      <w:pPr>
        <w:pStyle w:val="ConsPlusTitle"/>
        <w:jc w:val="center"/>
      </w:pPr>
      <w:bookmarkStart w:id="0" w:name="Par35"/>
      <w:bookmarkEnd w:id="0"/>
      <w:r>
        <w:t>ИНСТРУКЦИЯ О ПОРЯДКЕ ОКАЗАНИЯ МЕДИЦИНСКОЙ ПОМОЩИ П</w:t>
      </w:r>
      <w:r>
        <w:t>АЦИЕНТАМ С ОСТРЫМ КОРОНАРНЫМ СИНДРОМОМ В МЕЖРАЙОННОМ ЦЕНТРЕ</w:t>
      </w:r>
    </w:p>
    <w:p w14:paraId="234947BD" w14:textId="77777777" w:rsidR="00000000" w:rsidRDefault="00405FAE">
      <w:pPr>
        <w:pStyle w:val="ConsPlusNormal"/>
        <w:jc w:val="both"/>
      </w:pPr>
    </w:p>
    <w:p w14:paraId="4D51EE0F" w14:textId="77777777" w:rsidR="00000000" w:rsidRDefault="00405FAE">
      <w:pPr>
        <w:pStyle w:val="ConsPlusNormal"/>
        <w:ind w:firstLine="540"/>
        <w:jc w:val="both"/>
      </w:pPr>
      <w:r>
        <w:t>1. Настоящая Инструкция определяет порядок оказания медицинской помощи пациентам с острым коронарным синдромом (далее - ОКС) в межрайонном центре.</w:t>
      </w:r>
    </w:p>
    <w:p w14:paraId="5B268B77" w14:textId="77777777" w:rsidR="00000000" w:rsidRDefault="00405FAE">
      <w:pPr>
        <w:pStyle w:val="ConsPlusNormal"/>
        <w:spacing w:before="200"/>
        <w:ind w:firstLine="540"/>
        <w:jc w:val="both"/>
      </w:pPr>
      <w:r>
        <w:t>2. Медицинским работником при оказании медицинской помощи в амбулаторных условиях:</w:t>
      </w:r>
    </w:p>
    <w:p w14:paraId="70C14226" w14:textId="77777777" w:rsidR="00000000" w:rsidRDefault="00405FAE">
      <w:pPr>
        <w:pStyle w:val="ConsPlusNormal"/>
        <w:spacing w:before="200"/>
        <w:ind w:firstLine="540"/>
        <w:jc w:val="both"/>
      </w:pPr>
      <w:r>
        <w:t>осуществляются диагностические и лечебные мероприятия в соответствии с клиническим протоколом "Диагностика и лечение инфаркта миокарда, нестабильной стенокардии", утвержденн</w:t>
      </w:r>
      <w:r>
        <w:t>ым постановлением Министерства здравоохранения Республики Беларусь от 6 июня 2017 г. N 59;</w:t>
      </w:r>
    </w:p>
    <w:p w14:paraId="4113978D" w14:textId="77777777" w:rsidR="00000000" w:rsidRDefault="00405FAE">
      <w:pPr>
        <w:pStyle w:val="ConsPlusNormal"/>
        <w:spacing w:before="200"/>
        <w:ind w:firstLine="540"/>
        <w:jc w:val="both"/>
      </w:pPr>
      <w:r>
        <w:t>устанавливается наличие (отсутствие) медицинских показаний для госпитализации;</w:t>
      </w:r>
    </w:p>
    <w:p w14:paraId="27A9DDDB" w14:textId="77777777" w:rsidR="00000000" w:rsidRDefault="00405FAE">
      <w:pPr>
        <w:pStyle w:val="ConsPlusNormal"/>
        <w:spacing w:before="200"/>
        <w:ind w:firstLine="540"/>
        <w:jc w:val="both"/>
      </w:pPr>
      <w:r>
        <w:t>вызывается бригада скорой медицинской помощи (далее - бригада СМП) (при необходимости)</w:t>
      </w:r>
      <w:r>
        <w:t>.</w:t>
      </w:r>
    </w:p>
    <w:p w14:paraId="3AB0E809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3. Бригада СМП оказывает медицинскую помощь в соответствии с клиническим протоколом диагностики и лечения инфаркта миокарда, нестабильной стенокардии, утвержденным постановлением Министерства здравоохранения Республики Беларусь от 6 июня 2017 г. N 59, и </w:t>
      </w:r>
      <w:r>
        <w:t>оформляет чек-лист пациента с острым коронарным синдромом с подъемом сегмента ST на ЭКГ по форме согласно приложению 1 (далее - чек-лист пациента с ОКС).</w:t>
      </w:r>
    </w:p>
    <w:p w14:paraId="2FC27411" w14:textId="77777777" w:rsidR="00000000" w:rsidRDefault="00405FAE">
      <w:pPr>
        <w:pStyle w:val="ConsPlusNormal"/>
        <w:spacing w:before="200"/>
        <w:ind w:firstLine="540"/>
        <w:jc w:val="both"/>
      </w:pPr>
      <w:r>
        <w:t>4. Тромболитическая терапия на догоспитальном этапе выполняется в случаях, когда при предполагаемом ра</w:t>
      </w:r>
      <w:r>
        <w:t>звитии ОКС с подъемом сегмента ST ожидаемое время от первичного медицинского контакта (далее - ПМК) до поступления пациента в межрайонный центр превышает 60 минут. Необходимым условием для выполнения тромболитической терапии на догоспитальном этапе пациент</w:t>
      </w:r>
      <w:r>
        <w:t>у с ОКС является оснащенность бригады аппаратами ЭКГ и дефибрилляторами с автономным питанием.</w:t>
      </w:r>
    </w:p>
    <w:p w14:paraId="51EB7F00" w14:textId="77777777" w:rsidR="00000000" w:rsidRDefault="00405FAE">
      <w:pPr>
        <w:pStyle w:val="ConsPlusNormal"/>
        <w:spacing w:before="200"/>
        <w:ind w:firstLine="540"/>
        <w:jc w:val="both"/>
      </w:pPr>
      <w:r>
        <w:t>5. Транспортировка пациентов с ОКС, имеющих стабильную гемодинамику, проводится бригадой СМП, которая осуществила ПМК с пациентом. Вызов дополнительной бригады С</w:t>
      </w:r>
      <w:r>
        <w:t>МП допускается в случаях нестабильной гемодинамики, препятствующей немедленной транспортировке пациента, а также при развитии на фоне ОКС жизнеугрожающих нарушений сердечного ритма и проводимости, требующих экстренной медицинской помощи.</w:t>
      </w:r>
    </w:p>
    <w:p w14:paraId="52740023" w14:textId="77777777" w:rsidR="00000000" w:rsidRDefault="00405FAE">
      <w:pPr>
        <w:pStyle w:val="ConsPlusNormal"/>
        <w:spacing w:before="200"/>
        <w:ind w:firstLine="540"/>
        <w:jc w:val="both"/>
      </w:pPr>
      <w:r>
        <w:t>6. Бригада СМП инф</w:t>
      </w:r>
      <w:r>
        <w:t>ормирует дежурного врача приемного отделения межрайонного центра о предполагаемом времени прибытия пациента.</w:t>
      </w:r>
    </w:p>
    <w:p w14:paraId="47361016" w14:textId="77777777" w:rsidR="00000000" w:rsidRDefault="00405FAE">
      <w:pPr>
        <w:pStyle w:val="ConsPlusNormal"/>
        <w:spacing w:before="200"/>
        <w:ind w:firstLine="540"/>
        <w:jc w:val="both"/>
      </w:pPr>
      <w:r>
        <w:t>7. Дежурный врач приемного отделения межрайонного центра вызывает врача - анестезиолога-реаниматолога, врача - рентгеноэндоваскулярного хирурга, вр</w:t>
      </w:r>
      <w:r>
        <w:t>ача-кардиолога для встречи бригады СМП.</w:t>
      </w:r>
    </w:p>
    <w:p w14:paraId="0013FFE0" w14:textId="77777777" w:rsidR="00000000" w:rsidRDefault="00405FAE">
      <w:pPr>
        <w:pStyle w:val="ConsPlusNormal"/>
        <w:spacing w:before="200"/>
        <w:ind w:firstLine="540"/>
        <w:jc w:val="both"/>
      </w:pPr>
      <w:r>
        <w:t>8. Бригада врачей в составе врача - анестезиолога-реаниматолога, врача - рентгеноэндоваскулярного хирурга, дежурного врача приемного отделения, врача-кардиолога принимает решение о назначении необходимых диагностичес</w:t>
      </w:r>
      <w:r>
        <w:t>ких и лечебных рентгенэндоваскулярных вмешательств (далее - РЭВ), в том числе о проведении экстренной коронароангиографии и дальнейшей реваскуляризации.</w:t>
      </w:r>
    </w:p>
    <w:p w14:paraId="1A4BECB9" w14:textId="77777777" w:rsidR="00000000" w:rsidRDefault="00405FAE">
      <w:pPr>
        <w:pStyle w:val="ConsPlusNormal"/>
        <w:spacing w:before="200"/>
        <w:ind w:firstLine="540"/>
        <w:jc w:val="both"/>
      </w:pPr>
      <w:r>
        <w:t>9. Врач - рентгеноэндоваскулярный хирург продолжает оформление переданного бригадой СМП чек-листа пацие</w:t>
      </w:r>
      <w:r>
        <w:t>нта с ОКС, а врач-кардиолог после окончания РЭВ завершает его заполнение.</w:t>
      </w:r>
    </w:p>
    <w:p w14:paraId="6DC53F76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10. При поступлении пациента с кардиогенным шоком или его развитием во время выполнения РЭВ рассматривается возможность установки системы экстракорпоральной мембранной оксигенации / </w:t>
      </w:r>
      <w:r>
        <w:t>внутриаортальной баллонной контрпульсации (ЭКМО/ВАБК).</w:t>
      </w:r>
    </w:p>
    <w:p w14:paraId="43207996" w14:textId="77777777" w:rsidR="00000000" w:rsidRDefault="00405FAE">
      <w:pPr>
        <w:pStyle w:val="ConsPlusNormal"/>
        <w:spacing w:before="200"/>
        <w:ind w:firstLine="540"/>
        <w:jc w:val="both"/>
      </w:pPr>
      <w:r>
        <w:t>11. После выполнения всех диагностических и лечебных РЭВ пациенты с ОКС с подъемом сегмента ST переводятся для дальнейшего лечения в отделение анестезиологии и реанимации.</w:t>
      </w:r>
    </w:p>
    <w:p w14:paraId="4FE55086" w14:textId="77777777" w:rsidR="00000000" w:rsidRDefault="00405FAE">
      <w:pPr>
        <w:pStyle w:val="ConsPlusNormal"/>
        <w:spacing w:before="200"/>
        <w:ind w:firstLine="540"/>
        <w:jc w:val="both"/>
      </w:pPr>
      <w:r>
        <w:t>Пациенты с ОКС без подъема се</w:t>
      </w:r>
      <w:r>
        <w:t xml:space="preserve">гмента ST после проведения РЭВ, в зависимости от тяжести </w:t>
      </w:r>
      <w:r>
        <w:lastRenderedPageBreak/>
        <w:t>состояния, могут быть переведены в блок (палату) интенсивной терапии кардиологического (инфарктного) отделения или отделение анестезиологии и реанимации.</w:t>
      </w:r>
    </w:p>
    <w:p w14:paraId="2B4F0723" w14:textId="77777777" w:rsidR="00000000" w:rsidRDefault="00405FAE">
      <w:pPr>
        <w:pStyle w:val="ConsPlusNormal"/>
        <w:spacing w:before="200"/>
        <w:ind w:firstLine="540"/>
        <w:jc w:val="both"/>
      </w:pPr>
      <w:r>
        <w:t>12. Через 24 часа после проведения РЭВ показа</w:t>
      </w:r>
      <w:r>
        <w:t>но определение чувствительности к компонентам двойной антитромбоцитарной терапии. При отсутствии необходимого эффекта принимается решение о коррекции лекарственной терапии.</w:t>
      </w:r>
    </w:p>
    <w:p w14:paraId="11D1971E" w14:textId="77777777" w:rsidR="00000000" w:rsidRDefault="00405FAE">
      <w:pPr>
        <w:pStyle w:val="ConsPlusNormal"/>
        <w:spacing w:before="200"/>
        <w:ind w:firstLine="540"/>
        <w:jc w:val="both"/>
      </w:pPr>
      <w:r>
        <w:t>13. Пациенты с ОКС с подъемом сегмента ST, которые отказались от проведения РЭВ или</w:t>
      </w:r>
      <w:r>
        <w:t xml:space="preserve"> имеют медицинские противопоказания к проведению данного вида хирургического вмешательства; пациенты с ОКС без подъема сегмента ST при отсутствии медицинских показаний к экстренной интервенционной стратегии по шкале GRACE 2.0 госпитализируются в кардиологи</w:t>
      </w:r>
      <w:r>
        <w:t>ческое отделение (при наличии медицинских показаний - в отделение анестезиологии и реанимации или блок (палату) интенсивной терапии кардиологического отделения) для определения дальнейшей тактики лечения.</w:t>
      </w:r>
    </w:p>
    <w:p w14:paraId="309F25BA" w14:textId="77777777" w:rsidR="00000000" w:rsidRDefault="00405FAE">
      <w:pPr>
        <w:pStyle w:val="ConsPlusNormal"/>
        <w:spacing w:before="200"/>
        <w:ind w:firstLine="540"/>
        <w:jc w:val="both"/>
      </w:pPr>
      <w:r>
        <w:t>После стабилизации состояния все пациенты с ОКС про</w:t>
      </w:r>
      <w:r>
        <w:t>должают лечение в кардиологических отделениях.</w:t>
      </w:r>
    </w:p>
    <w:p w14:paraId="64772384" w14:textId="77777777" w:rsidR="00000000" w:rsidRDefault="00405FAE">
      <w:pPr>
        <w:pStyle w:val="ConsPlusNormal"/>
        <w:spacing w:before="200"/>
        <w:ind w:firstLine="540"/>
        <w:jc w:val="both"/>
      </w:pPr>
      <w:r>
        <w:t>14. Реабилитация пациентов, перенесших ОКС, осуществляется в соответствии с приказом Министерства здравоохранения Республики Беларусь от 10 декабря 2014 г. N 1300 "О порядке оказания медицинской реабилитации в</w:t>
      </w:r>
      <w:r>
        <w:t xml:space="preserve"> амбулаторных, стационарных условиях, в условиях дневного пребывания, а также вне организаций здравоохранения".</w:t>
      </w:r>
    </w:p>
    <w:p w14:paraId="499A5BB7" w14:textId="77777777" w:rsidR="00000000" w:rsidRDefault="00405FAE">
      <w:pPr>
        <w:pStyle w:val="ConsPlusNormal"/>
        <w:spacing w:before="200"/>
        <w:ind w:firstLine="540"/>
        <w:jc w:val="both"/>
      </w:pPr>
      <w:r>
        <w:t>15. Медицинское наблюдение и лечение пациента с ОКС в амбулаторных условиях осуществляются врачом-кардиологом (врачом общей практики) в организа</w:t>
      </w:r>
      <w:r>
        <w:t>ции здравоохранения по месту жительства (месту пребывания) пациента.</w:t>
      </w:r>
    </w:p>
    <w:p w14:paraId="41BD5060" w14:textId="77777777" w:rsidR="00000000" w:rsidRDefault="00405FAE">
      <w:pPr>
        <w:pStyle w:val="ConsPlusNormal"/>
        <w:spacing w:before="200"/>
        <w:ind w:firstLine="540"/>
        <w:jc w:val="both"/>
      </w:pPr>
      <w:r>
        <w:t>16. Оценка эффективности работы межрайонного центра осуществляется по критериям эффективности оказания медицинской помощи пациентам с ОКС согласно приложению 2.</w:t>
      </w:r>
    </w:p>
    <w:p w14:paraId="16C14500" w14:textId="77777777" w:rsidR="00000000" w:rsidRDefault="00405FAE">
      <w:pPr>
        <w:pStyle w:val="ConsPlusNormal"/>
        <w:jc w:val="both"/>
      </w:pPr>
    </w:p>
    <w:p w14:paraId="0F80C77A" w14:textId="77777777" w:rsidR="00000000" w:rsidRDefault="00405FAE">
      <w:pPr>
        <w:pStyle w:val="ConsPlusNormal"/>
        <w:jc w:val="both"/>
      </w:pPr>
    </w:p>
    <w:p w14:paraId="5A7148D1" w14:textId="77777777" w:rsidR="00000000" w:rsidRDefault="00405FAE">
      <w:pPr>
        <w:pStyle w:val="ConsPlusNormal"/>
        <w:jc w:val="both"/>
      </w:pPr>
    </w:p>
    <w:p w14:paraId="47036E4A" w14:textId="77777777" w:rsidR="00000000" w:rsidRDefault="00405FAE">
      <w:pPr>
        <w:pStyle w:val="ConsPlusNormal"/>
        <w:jc w:val="both"/>
      </w:pPr>
    </w:p>
    <w:p w14:paraId="69AAEA17" w14:textId="77777777" w:rsidR="00000000" w:rsidRDefault="00405FAE">
      <w:pPr>
        <w:pStyle w:val="ConsPlusNormal"/>
        <w:jc w:val="both"/>
      </w:pPr>
    </w:p>
    <w:p w14:paraId="5CE3730F" w14:textId="77777777" w:rsidR="00000000" w:rsidRDefault="00405FAE">
      <w:pPr>
        <w:pStyle w:val="ConsPlusNormal"/>
        <w:jc w:val="right"/>
        <w:outlineLvl w:val="1"/>
      </w:pPr>
      <w:r>
        <w:t>Приложение 1</w:t>
      </w:r>
    </w:p>
    <w:p w14:paraId="1CC1E636" w14:textId="77777777" w:rsidR="00000000" w:rsidRDefault="00405FAE">
      <w:pPr>
        <w:pStyle w:val="ConsPlusNormal"/>
        <w:jc w:val="right"/>
      </w:pPr>
      <w:r>
        <w:t>к Инструкции о порядке</w:t>
      </w:r>
    </w:p>
    <w:p w14:paraId="55A95E56" w14:textId="77777777" w:rsidR="00000000" w:rsidRDefault="00405FAE">
      <w:pPr>
        <w:pStyle w:val="ConsPlusNormal"/>
        <w:jc w:val="right"/>
      </w:pPr>
      <w:r>
        <w:t>оказания медицинской</w:t>
      </w:r>
    </w:p>
    <w:p w14:paraId="5D94F656" w14:textId="77777777" w:rsidR="00000000" w:rsidRDefault="00405FAE">
      <w:pPr>
        <w:pStyle w:val="ConsPlusNormal"/>
        <w:jc w:val="right"/>
      </w:pPr>
      <w:r>
        <w:t>помощи пациентам с</w:t>
      </w:r>
    </w:p>
    <w:p w14:paraId="36BB2D11" w14:textId="77777777" w:rsidR="00000000" w:rsidRDefault="00405FAE">
      <w:pPr>
        <w:pStyle w:val="ConsPlusNormal"/>
        <w:jc w:val="right"/>
      </w:pPr>
      <w:r>
        <w:t>острым коронарным</w:t>
      </w:r>
    </w:p>
    <w:p w14:paraId="45BCA743" w14:textId="77777777" w:rsidR="00000000" w:rsidRDefault="00405FAE">
      <w:pPr>
        <w:pStyle w:val="ConsPlusNormal"/>
        <w:jc w:val="right"/>
      </w:pPr>
      <w:r>
        <w:t>синдромом в межрайонном</w:t>
      </w:r>
    </w:p>
    <w:p w14:paraId="7169971E" w14:textId="77777777" w:rsidR="00000000" w:rsidRDefault="00405FAE">
      <w:pPr>
        <w:pStyle w:val="ConsPlusNormal"/>
        <w:jc w:val="right"/>
      </w:pPr>
      <w:r>
        <w:t>центре</w:t>
      </w:r>
    </w:p>
    <w:p w14:paraId="7AD75BAC" w14:textId="77777777" w:rsidR="00000000" w:rsidRDefault="00405FAE">
      <w:pPr>
        <w:pStyle w:val="ConsPlusNormal"/>
        <w:jc w:val="both"/>
      </w:pPr>
    </w:p>
    <w:p w14:paraId="32E4C667" w14:textId="77777777" w:rsidR="00000000" w:rsidRDefault="00405FAE">
      <w:pPr>
        <w:pStyle w:val="ConsPlusNormal"/>
        <w:jc w:val="right"/>
      </w:pPr>
      <w:bookmarkStart w:id="1" w:name="Par71"/>
      <w:bookmarkEnd w:id="1"/>
      <w:r>
        <w:t>Форма</w:t>
      </w:r>
    </w:p>
    <w:p w14:paraId="0D9C2D12" w14:textId="77777777" w:rsidR="00000000" w:rsidRDefault="00405FAE">
      <w:pPr>
        <w:pStyle w:val="ConsPlusNormal"/>
        <w:jc w:val="both"/>
      </w:pPr>
    </w:p>
    <w:p w14:paraId="3B79C23D" w14:textId="77777777" w:rsidR="00000000" w:rsidRDefault="00405FAE">
      <w:pPr>
        <w:pStyle w:val="ConsPlusNormal"/>
        <w:jc w:val="center"/>
      </w:pPr>
      <w:r>
        <w:t>Чек-лист пациента</w:t>
      </w:r>
    </w:p>
    <w:p w14:paraId="491D6890" w14:textId="77777777" w:rsidR="00000000" w:rsidRDefault="00405FAE">
      <w:pPr>
        <w:pStyle w:val="ConsPlusNormal"/>
        <w:jc w:val="center"/>
      </w:pPr>
      <w:r>
        <w:t>с острым коронарным синдромом с подъемом сегмента ST на ЭКГ</w:t>
      </w:r>
    </w:p>
    <w:p w14:paraId="08414451" w14:textId="77777777" w:rsidR="00000000" w:rsidRDefault="00405FAE">
      <w:pPr>
        <w:pStyle w:val="ConsPlusNormal"/>
        <w:jc w:val="both"/>
      </w:pPr>
    </w:p>
    <w:p w14:paraId="4AE68F66" w14:textId="77777777" w:rsidR="00000000" w:rsidRDefault="00405FAE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535"/>
        <w:gridCol w:w="3930"/>
        <w:gridCol w:w="1350"/>
      </w:tblGrid>
      <w:tr w:rsidR="00000000" w14:paraId="0AC5D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09D5" w14:textId="77777777" w:rsidR="00000000" w:rsidRDefault="00405FAE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F8AF" w14:textId="77777777" w:rsidR="00000000" w:rsidRDefault="00405FAE">
            <w:pPr>
              <w:pStyle w:val="ConsPlusNormal"/>
              <w:jc w:val="center"/>
            </w:pPr>
            <w:r>
              <w:t>Параметр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3646" w14:textId="77777777" w:rsidR="00000000" w:rsidRDefault="00405FAE">
            <w:pPr>
              <w:pStyle w:val="ConsPlusNormal"/>
              <w:jc w:val="center"/>
            </w:pPr>
            <w:r>
              <w:t>Пояснение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206E" w14:textId="77777777" w:rsidR="00000000" w:rsidRDefault="00405FAE">
            <w:pPr>
              <w:pStyle w:val="ConsPlusNormal"/>
              <w:jc w:val="center"/>
            </w:pPr>
            <w:r>
              <w:t>О</w:t>
            </w:r>
            <w:r>
              <w:t>твет, мин</w:t>
            </w:r>
          </w:p>
        </w:tc>
      </w:tr>
      <w:tr w:rsidR="00000000" w14:paraId="7DA2A7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31F1" w14:textId="77777777" w:rsidR="00000000" w:rsidRDefault="00405FAE">
            <w:pPr>
              <w:pStyle w:val="ConsPlusNormal"/>
            </w:pPr>
            <w:r>
              <w:t>1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CCA2" w14:textId="77777777" w:rsidR="00000000" w:rsidRDefault="00405FAE">
            <w:pPr>
              <w:pStyle w:val="ConsPlusNormal"/>
            </w:pPr>
            <w:r>
              <w:t>Время от начала наиболее интенсивного болевого приступа до обращения за медицинской помощью &lt;1&gt;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33C7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135D" w14:textId="77777777" w:rsidR="00000000" w:rsidRDefault="00405FAE">
            <w:pPr>
              <w:pStyle w:val="ConsPlusNormal"/>
            </w:pPr>
          </w:p>
        </w:tc>
      </w:tr>
      <w:tr w:rsidR="00000000" w14:paraId="3FFEB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6AED" w14:textId="77777777" w:rsidR="00000000" w:rsidRDefault="00405FAE">
            <w:pPr>
              <w:pStyle w:val="ConsPlusNormal"/>
            </w:pPr>
            <w:r>
              <w:t>2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F55E" w14:textId="77777777" w:rsidR="00000000" w:rsidRDefault="00405FAE">
            <w:pPr>
              <w:pStyle w:val="ConsPlusNormal"/>
            </w:pPr>
            <w:r>
              <w:t>Время от начала болевого приступа до ПМК &lt;1&gt;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E6DF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DD0A" w14:textId="77777777" w:rsidR="00000000" w:rsidRDefault="00405FAE">
            <w:pPr>
              <w:pStyle w:val="ConsPlusNormal"/>
            </w:pPr>
          </w:p>
        </w:tc>
      </w:tr>
      <w:tr w:rsidR="00000000" w14:paraId="0DF1E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2D1E" w14:textId="77777777" w:rsidR="00000000" w:rsidRDefault="00405FAE">
            <w:pPr>
              <w:pStyle w:val="ConsPlusNormal"/>
            </w:pPr>
            <w:r>
              <w:t>3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8F32" w14:textId="77777777" w:rsidR="00000000" w:rsidRDefault="00405FAE">
            <w:pPr>
              <w:pStyle w:val="ConsPlusNormal"/>
            </w:pPr>
            <w:r>
              <w:t>Время от ПМК до регистрации ЭКГ и постановки диагноза &lt;1&gt;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4CF3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F3AC" w14:textId="77777777" w:rsidR="00000000" w:rsidRDefault="00405FAE">
            <w:pPr>
              <w:pStyle w:val="ConsPlusNormal"/>
            </w:pPr>
          </w:p>
        </w:tc>
      </w:tr>
      <w:tr w:rsidR="00000000" w14:paraId="018C3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9FE5" w14:textId="77777777" w:rsidR="00000000" w:rsidRDefault="00405FAE">
            <w:pPr>
              <w:pStyle w:val="ConsPlusNormal"/>
            </w:pPr>
            <w:r>
              <w:t>4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D11C" w14:textId="77777777" w:rsidR="00000000" w:rsidRDefault="00405FAE">
            <w:pPr>
              <w:pStyle w:val="ConsPlusNormal"/>
            </w:pPr>
            <w:r>
              <w:t>Время от постановки диагноза до начала введения тромболитического лекарственного препарата &lt;2&gt;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EC7F" w14:textId="77777777" w:rsidR="00000000" w:rsidRDefault="00405FAE">
            <w:pPr>
              <w:pStyle w:val="ConsPlusNormal"/>
            </w:pPr>
            <w:r>
              <w:t>Указывается время, если выполнялся тромболизис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AF5C" w14:textId="77777777" w:rsidR="00000000" w:rsidRDefault="00405FAE">
            <w:pPr>
              <w:pStyle w:val="ConsPlusNormal"/>
            </w:pPr>
          </w:p>
        </w:tc>
      </w:tr>
      <w:tr w:rsidR="00000000" w14:paraId="3ECE1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FEAA" w14:textId="77777777" w:rsidR="00000000" w:rsidRDefault="00405FAE">
            <w:pPr>
              <w:pStyle w:val="ConsPlusNormal"/>
            </w:pPr>
            <w:r>
              <w:t>5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BA6A" w14:textId="77777777" w:rsidR="00000000" w:rsidRDefault="00405FAE">
            <w:pPr>
              <w:pStyle w:val="ConsPlusNormal"/>
            </w:pPr>
            <w:r>
              <w:t>Время от начала введения тромб</w:t>
            </w:r>
            <w:r>
              <w:t>олитического лекарственного препарата до принятия окончательного решения об эффективности тромболизиса &lt;3&gt;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6739" w14:textId="77777777" w:rsidR="00000000" w:rsidRDefault="00405FAE">
            <w:pPr>
              <w:pStyle w:val="ConsPlusNormal"/>
            </w:pPr>
            <w:r>
              <w:t>Указывается время, если выполнялся тромболизис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D312" w14:textId="77777777" w:rsidR="00000000" w:rsidRDefault="00405FAE">
            <w:pPr>
              <w:pStyle w:val="ConsPlusNormal"/>
            </w:pPr>
          </w:p>
        </w:tc>
      </w:tr>
      <w:tr w:rsidR="00000000" w14:paraId="22B45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4EA9" w14:textId="77777777" w:rsidR="00000000" w:rsidRDefault="00405FAE">
            <w:pPr>
              <w:pStyle w:val="ConsPlusNormal"/>
            </w:pPr>
            <w:r>
              <w:t>6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62DE" w14:textId="77777777" w:rsidR="00000000" w:rsidRDefault="00405FAE">
            <w:pPr>
              <w:pStyle w:val="ConsPlusNormal"/>
            </w:pPr>
            <w:r>
              <w:t>Тромболитическая терапия &lt;3&gt;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9E57" w14:textId="77777777" w:rsidR="00000000" w:rsidRDefault="00405FAE">
            <w:pPr>
              <w:pStyle w:val="ConsPlusNormal"/>
            </w:pPr>
            <w:r>
              <w:t>Указываются, если выполнялся тромболизис: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3238" w14:textId="77777777" w:rsidR="00000000" w:rsidRDefault="00405FAE">
            <w:pPr>
              <w:pStyle w:val="ConsPlusNormal"/>
            </w:pPr>
          </w:p>
        </w:tc>
      </w:tr>
      <w:tr w:rsidR="00000000" w14:paraId="13B9F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2746" w14:textId="77777777" w:rsidR="00000000" w:rsidRDefault="00405FAE">
            <w:pPr>
              <w:pStyle w:val="ConsPlusNormal"/>
              <w:jc w:val="both"/>
            </w:pPr>
          </w:p>
        </w:tc>
        <w:tc>
          <w:tcPr>
            <w:tcW w:w="5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9BF8" w14:textId="77777777" w:rsidR="00000000" w:rsidRDefault="00405FAE">
            <w:pPr>
              <w:pStyle w:val="ConsPlusNormal"/>
              <w:jc w:val="both"/>
            </w:pP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5688" w14:textId="77777777" w:rsidR="00000000" w:rsidRDefault="00405FAE">
            <w:pPr>
              <w:pStyle w:val="ConsPlusNormal"/>
            </w:pPr>
            <w:r>
              <w:t>а) лекарственный препарат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664A" w14:textId="77777777" w:rsidR="00000000" w:rsidRDefault="00405FAE">
            <w:pPr>
              <w:pStyle w:val="ConsPlusNormal"/>
            </w:pPr>
          </w:p>
        </w:tc>
      </w:tr>
      <w:tr w:rsidR="00000000" w14:paraId="00002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9C00" w14:textId="77777777" w:rsidR="00000000" w:rsidRDefault="00405FAE">
            <w:pPr>
              <w:pStyle w:val="ConsPlusNormal"/>
              <w:jc w:val="both"/>
            </w:pPr>
          </w:p>
        </w:tc>
        <w:tc>
          <w:tcPr>
            <w:tcW w:w="5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8E88" w14:textId="77777777" w:rsidR="00000000" w:rsidRDefault="00405FAE">
            <w:pPr>
              <w:pStyle w:val="ConsPlusNormal"/>
              <w:jc w:val="both"/>
            </w:pP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CBC7" w14:textId="77777777" w:rsidR="00000000" w:rsidRDefault="00405FAE">
            <w:pPr>
              <w:pStyle w:val="ConsPlusNormal"/>
            </w:pPr>
            <w:r>
              <w:t>б) доза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58FF" w14:textId="77777777" w:rsidR="00000000" w:rsidRDefault="00405FAE">
            <w:pPr>
              <w:pStyle w:val="ConsPlusNormal"/>
            </w:pPr>
          </w:p>
        </w:tc>
      </w:tr>
      <w:tr w:rsidR="00000000" w14:paraId="14EA95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AB08" w14:textId="77777777" w:rsidR="00000000" w:rsidRDefault="00405FAE">
            <w:pPr>
              <w:pStyle w:val="ConsPlusNormal"/>
              <w:jc w:val="both"/>
            </w:pPr>
          </w:p>
        </w:tc>
        <w:tc>
          <w:tcPr>
            <w:tcW w:w="5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1233" w14:textId="77777777" w:rsidR="00000000" w:rsidRDefault="00405FAE">
            <w:pPr>
              <w:pStyle w:val="ConsPlusNormal"/>
              <w:jc w:val="both"/>
            </w:pP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E9F3" w14:textId="77777777" w:rsidR="00000000" w:rsidRDefault="00405FAE">
            <w:pPr>
              <w:pStyle w:val="ConsPlusNormal"/>
            </w:pPr>
            <w:r>
              <w:t>в) схема введения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C453" w14:textId="77777777" w:rsidR="00000000" w:rsidRDefault="00405FAE">
            <w:pPr>
              <w:pStyle w:val="ConsPlusNormal"/>
            </w:pPr>
          </w:p>
        </w:tc>
      </w:tr>
      <w:tr w:rsidR="00000000" w14:paraId="2AA5A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A31E" w14:textId="77777777" w:rsidR="00000000" w:rsidRDefault="00405FAE">
            <w:pPr>
              <w:pStyle w:val="ConsPlusNormal"/>
            </w:pPr>
            <w:r>
              <w:t>7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65A2" w14:textId="77777777" w:rsidR="00000000" w:rsidRDefault="00405FAE">
            <w:pPr>
              <w:pStyle w:val="ConsPlusNormal"/>
            </w:pPr>
            <w:r>
              <w:t>Время от постановки диагноза до поступления пациента в межрайонный центр &lt;3&gt;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A004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7AB8" w14:textId="77777777" w:rsidR="00000000" w:rsidRDefault="00405FAE">
            <w:pPr>
              <w:pStyle w:val="ConsPlusNormal"/>
            </w:pPr>
          </w:p>
        </w:tc>
      </w:tr>
      <w:tr w:rsidR="00000000" w14:paraId="11002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E5A0" w14:textId="77777777" w:rsidR="00000000" w:rsidRDefault="00405FAE">
            <w:pPr>
              <w:pStyle w:val="ConsPlusNormal"/>
            </w:pPr>
            <w:r>
              <w:t>8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F18E" w14:textId="77777777" w:rsidR="00000000" w:rsidRDefault="00405FAE">
            <w:pPr>
              <w:pStyle w:val="ConsPlusNormal"/>
            </w:pPr>
            <w:r>
              <w:t>Время от поступления пациента в межрайонный центр до начала проведения коронарографии &lt;4&gt;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CAE6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8AC20" w14:textId="77777777" w:rsidR="00000000" w:rsidRDefault="00405FAE">
            <w:pPr>
              <w:pStyle w:val="ConsPlusNormal"/>
            </w:pPr>
          </w:p>
        </w:tc>
      </w:tr>
      <w:tr w:rsidR="00000000" w14:paraId="7B4AC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D8C8" w14:textId="77777777" w:rsidR="00000000" w:rsidRDefault="00405FAE">
            <w:pPr>
              <w:pStyle w:val="ConsPlusNormal"/>
            </w:pPr>
            <w:r>
              <w:t>9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40E8" w14:textId="77777777" w:rsidR="00000000" w:rsidRDefault="00405FAE">
            <w:pPr>
              <w:pStyle w:val="ConsPlusNormal"/>
            </w:pPr>
            <w:r>
              <w:t>Время от момента завершения тромболитической терапии до начала проведения коронарографии &lt;4&gt;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CC5E" w14:textId="77777777" w:rsidR="00000000" w:rsidRDefault="00405FAE">
            <w:pPr>
              <w:pStyle w:val="ConsPlusNormal"/>
            </w:pPr>
            <w:r>
              <w:t>Указывается время, если выполнялся тромболизис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DB95" w14:textId="77777777" w:rsidR="00000000" w:rsidRDefault="00405FAE">
            <w:pPr>
              <w:pStyle w:val="ConsPlusNormal"/>
            </w:pPr>
          </w:p>
        </w:tc>
      </w:tr>
      <w:tr w:rsidR="00000000" w14:paraId="01EF9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8A25" w14:textId="77777777" w:rsidR="00000000" w:rsidRDefault="00405FAE">
            <w:pPr>
              <w:pStyle w:val="ConsPlusNormal"/>
            </w:pPr>
            <w:r>
              <w:t>10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BCA1" w14:textId="77777777" w:rsidR="00000000" w:rsidRDefault="00405FAE">
            <w:pPr>
              <w:pStyle w:val="ConsPlusNormal"/>
            </w:pPr>
            <w:r>
              <w:t>Время от поступления пациента в межрайонный центр до проведения проводника в дистальные отделы инфаркт-связанной артерии &lt;4&gt;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4AD2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4E6E" w14:textId="77777777" w:rsidR="00000000" w:rsidRDefault="00405FAE">
            <w:pPr>
              <w:pStyle w:val="ConsPlusNormal"/>
            </w:pPr>
          </w:p>
        </w:tc>
      </w:tr>
      <w:tr w:rsidR="00000000" w14:paraId="1E82E7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C725" w14:textId="77777777" w:rsidR="00000000" w:rsidRDefault="00405FAE">
            <w:pPr>
              <w:pStyle w:val="ConsPlusNormal"/>
            </w:pPr>
            <w:r>
              <w:t>11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D334" w14:textId="77777777" w:rsidR="00000000" w:rsidRDefault="00405FAE">
            <w:pPr>
              <w:pStyle w:val="ConsPlusNormal"/>
            </w:pPr>
            <w:r>
              <w:t>Время от постановки диагноза до проведения проводника в дистальные отделы инфаркт-связанной артерии &lt;4&gt;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2690" w14:textId="77777777" w:rsidR="00000000" w:rsidRDefault="00405FAE">
            <w:pPr>
              <w:pStyle w:val="ConsPlusNormal"/>
            </w:pPr>
            <w:r>
              <w:t>Ука</w:t>
            </w:r>
            <w:r>
              <w:t>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56C0" w14:textId="77777777" w:rsidR="00000000" w:rsidRDefault="00405FAE">
            <w:pPr>
              <w:pStyle w:val="ConsPlusNormal"/>
            </w:pPr>
          </w:p>
        </w:tc>
      </w:tr>
      <w:tr w:rsidR="00000000" w14:paraId="32000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69AF" w14:textId="77777777" w:rsidR="00000000" w:rsidRDefault="00405FAE">
            <w:pPr>
              <w:pStyle w:val="ConsPlusNormal"/>
            </w:pPr>
            <w:r>
              <w:t>12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1859" w14:textId="77777777" w:rsidR="00000000" w:rsidRDefault="00405FAE">
            <w:pPr>
              <w:pStyle w:val="ConsPlusNormal"/>
            </w:pPr>
            <w:r>
              <w:t>Время окончания РЭВ &lt;4&gt;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C388" w14:textId="77777777" w:rsidR="00000000" w:rsidRDefault="00405FAE">
            <w:pPr>
              <w:pStyle w:val="ConsPlusNormal"/>
            </w:pPr>
            <w:r>
              <w:t>Указывается время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10E5" w14:textId="77777777" w:rsidR="00000000" w:rsidRDefault="00405FAE">
            <w:pPr>
              <w:pStyle w:val="ConsPlusNormal"/>
            </w:pPr>
          </w:p>
        </w:tc>
      </w:tr>
      <w:tr w:rsidR="00000000" w14:paraId="3CFC7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F14E" w14:textId="77777777" w:rsidR="00000000" w:rsidRDefault="00405FAE">
            <w:pPr>
              <w:pStyle w:val="ConsPlusNormal"/>
            </w:pPr>
            <w:r>
              <w:t>13</w:t>
            </w:r>
          </w:p>
        </w:tc>
        <w:tc>
          <w:tcPr>
            <w:tcW w:w="5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2B2F" w14:textId="77777777" w:rsidR="00000000" w:rsidRDefault="00405FAE">
            <w:pPr>
              <w:pStyle w:val="ConsPlusNormal"/>
            </w:pPr>
            <w:r>
              <w:t>Суммарная продолжительность проведения коронароангиографии, РЭВ в межрайонном центре &lt;4&gt;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687C" w14:textId="77777777" w:rsidR="00000000" w:rsidRDefault="00405FAE">
            <w:pPr>
              <w:pStyle w:val="ConsPlusNormal"/>
            </w:pPr>
            <w:r>
              <w:t>Указывается время от начала коронароангиографии, РЭВ до окончания манипуляции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6903" w14:textId="77777777" w:rsidR="00000000" w:rsidRDefault="00405FAE">
            <w:pPr>
              <w:pStyle w:val="ConsPlusNormal"/>
            </w:pPr>
          </w:p>
        </w:tc>
      </w:tr>
    </w:tbl>
    <w:p w14:paraId="3D6BF509" w14:textId="77777777" w:rsidR="00000000" w:rsidRDefault="00405FAE">
      <w:pPr>
        <w:pStyle w:val="ConsPlusNormal"/>
        <w:jc w:val="both"/>
      </w:pPr>
    </w:p>
    <w:p w14:paraId="71A41D8D" w14:textId="77777777" w:rsidR="00000000" w:rsidRDefault="00405FAE">
      <w:pPr>
        <w:pStyle w:val="ConsPlusNormal"/>
        <w:ind w:firstLine="540"/>
        <w:jc w:val="both"/>
      </w:pPr>
      <w:r>
        <w:t>--------------------------------</w:t>
      </w:r>
    </w:p>
    <w:p w14:paraId="400EAEC5" w14:textId="77777777" w:rsidR="00000000" w:rsidRDefault="00405FAE">
      <w:pPr>
        <w:pStyle w:val="ConsPlusNormal"/>
        <w:spacing w:before="200"/>
        <w:ind w:firstLine="540"/>
        <w:jc w:val="both"/>
      </w:pPr>
      <w:bookmarkStart w:id="2" w:name="Par140"/>
      <w:bookmarkEnd w:id="2"/>
      <w:r>
        <w:t>&lt;1&gt; Заполняются бригадой СМП.</w:t>
      </w:r>
    </w:p>
    <w:p w14:paraId="0E53A1D9" w14:textId="77777777" w:rsidR="00000000" w:rsidRDefault="00405FAE">
      <w:pPr>
        <w:pStyle w:val="ConsPlusNormal"/>
        <w:spacing w:before="200"/>
        <w:ind w:firstLine="540"/>
        <w:jc w:val="both"/>
      </w:pPr>
      <w:bookmarkStart w:id="3" w:name="Par141"/>
      <w:bookmarkEnd w:id="3"/>
      <w:r>
        <w:t>&lt;2&gt; Заполняется бригадой СМП, если тромболизис начат бригадой СМП, если тромболизис нача</w:t>
      </w:r>
      <w:r>
        <w:t>т в отделении реанимации или интенсивной терапии - врачом, проводившим тромболитическую терапию.</w:t>
      </w:r>
    </w:p>
    <w:p w14:paraId="3974B2FC" w14:textId="77777777" w:rsidR="00000000" w:rsidRDefault="00405FAE">
      <w:pPr>
        <w:pStyle w:val="ConsPlusNormal"/>
        <w:spacing w:before="200"/>
        <w:ind w:firstLine="540"/>
        <w:jc w:val="both"/>
      </w:pPr>
      <w:bookmarkStart w:id="4" w:name="Par142"/>
      <w:bookmarkEnd w:id="4"/>
      <w:r>
        <w:t>&lt;3&gt; Заполняются в отделении анестезиологии и реанимации.</w:t>
      </w:r>
    </w:p>
    <w:p w14:paraId="4D034D61" w14:textId="77777777" w:rsidR="00000000" w:rsidRDefault="00405FAE">
      <w:pPr>
        <w:pStyle w:val="ConsPlusNormal"/>
        <w:spacing w:before="200"/>
        <w:ind w:firstLine="540"/>
        <w:jc w:val="both"/>
      </w:pPr>
      <w:bookmarkStart w:id="5" w:name="Par143"/>
      <w:bookmarkEnd w:id="5"/>
      <w:r>
        <w:t>&lt;4&gt; Заполняются врачом - рентгеноэндоваскулярным хирургом, проводившим РЭВ.</w:t>
      </w:r>
    </w:p>
    <w:p w14:paraId="12BC684B" w14:textId="77777777" w:rsidR="00000000" w:rsidRDefault="00405FAE">
      <w:pPr>
        <w:pStyle w:val="ConsPlusNormal"/>
        <w:jc w:val="both"/>
      </w:pPr>
    </w:p>
    <w:p w14:paraId="60F9C7DB" w14:textId="77777777" w:rsidR="00000000" w:rsidRDefault="00405FAE">
      <w:pPr>
        <w:pStyle w:val="ConsPlusNormal"/>
        <w:jc w:val="both"/>
      </w:pPr>
    </w:p>
    <w:p w14:paraId="697508C1" w14:textId="77777777" w:rsidR="00000000" w:rsidRDefault="00405FAE">
      <w:pPr>
        <w:pStyle w:val="ConsPlusNormal"/>
        <w:jc w:val="both"/>
      </w:pPr>
    </w:p>
    <w:p w14:paraId="49DDB90B" w14:textId="77777777" w:rsidR="00000000" w:rsidRDefault="00405FAE">
      <w:pPr>
        <w:pStyle w:val="ConsPlusNormal"/>
        <w:jc w:val="both"/>
      </w:pPr>
    </w:p>
    <w:p w14:paraId="5A10A82C" w14:textId="77777777" w:rsidR="00000000" w:rsidRDefault="00405FAE">
      <w:pPr>
        <w:pStyle w:val="ConsPlusNormal"/>
        <w:jc w:val="both"/>
      </w:pPr>
    </w:p>
    <w:p w14:paraId="4C107D45" w14:textId="77777777" w:rsidR="00000000" w:rsidRDefault="00405FAE">
      <w:pPr>
        <w:pStyle w:val="ConsPlusNormal"/>
        <w:jc w:val="right"/>
        <w:outlineLvl w:val="1"/>
      </w:pPr>
      <w:r>
        <w:t>Приложение 2</w:t>
      </w:r>
    </w:p>
    <w:p w14:paraId="2FA29F60" w14:textId="77777777" w:rsidR="00000000" w:rsidRDefault="00405FAE">
      <w:pPr>
        <w:pStyle w:val="ConsPlusNormal"/>
        <w:jc w:val="right"/>
      </w:pPr>
      <w:r>
        <w:t>к Инструкции о порядке</w:t>
      </w:r>
    </w:p>
    <w:p w14:paraId="0CC90184" w14:textId="77777777" w:rsidR="00000000" w:rsidRDefault="00405FAE">
      <w:pPr>
        <w:pStyle w:val="ConsPlusNormal"/>
        <w:jc w:val="right"/>
      </w:pPr>
      <w:r>
        <w:t>оказания медицинской</w:t>
      </w:r>
    </w:p>
    <w:p w14:paraId="164BDE0D" w14:textId="77777777" w:rsidR="00000000" w:rsidRDefault="00405FAE">
      <w:pPr>
        <w:pStyle w:val="ConsPlusNormal"/>
        <w:jc w:val="right"/>
      </w:pPr>
      <w:r>
        <w:t>помощи пациентам с</w:t>
      </w:r>
    </w:p>
    <w:p w14:paraId="77925BEE" w14:textId="77777777" w:rsidR="00000000" w:rsidRDefault="00405FAE">
      <w:pPr>
        <w:pStyle w:val="ConsPlusNormal"/>
        <w:jc w:val="right"/>
      </w:pPr>
      <w:r>
        <w:t>острым коронарным</w:t>
      </w:r>
    </w:p>
    <w:p w14:paraId="44DDB70A" w14:textId="77777777" w:rsidR="00000000" w:rsidRDefault="00405FAE">
      <w:pPr>
        <w:pStyle w:val="ConsPlusNormal"/>
        <w:jc w:val="right"/>
      </w:pPr>
      <w:r>
        <w:t>синдромом в межрайонном</w:t>
      </w:r>
    </w:p>
    <w:p w14:paraId="08C3E4F6" w14:textId="77777777" w:rsidR="00000000" w:rsidRDefault="00405FAE">
      <w:pPr>
        <w:pStyle w:val="ConsPlusNormal"/>
        <w:jc w:val="right"/>
      </w:pPr>
      <w:r>
        <w:t>центре</w:t>
      </w:r>
    </w:p>
    <w:p w14:paraId="5E335B2D" w14:textId="77777777" w:rsidR="00000000" w:rsidRDefault="00405FAE">
      <w:pPr>
        <w:pStyle w:val="ConsPlusNormal"/>
        <w:jc w:val="both"/>
      </w:pPr>
    </w:p>
    <w:p w14:paraId="733DB4D2" w14:textId="77777777" w:rsidR="00000000" w:rsidRDefault="00405FAE">
      <w:pPr>
        <w:pStyle w:val="ConsPlusTitle"/>
        <w:jc w:val="center"/>
      </w:pPr>
      <w:bookmarkStart w:id="6" w:name="Par157"/>
      <w:bookmarkEnd w:id="6"/>
      <w:r>
        <w:t>КРИТЕРИИ ЭФФЕКТИВНОСТИ ОКАЗАНИЯ МЕДИЦИНСКОЙ ПОМОЩИ ПАЦИЕНТАМ С ОКС</w:t>
      </w:r>
    </w:p>
    <w:p w14:paraId="214ED693" w14:textId="77777777" w:rsidR="00000000" w:rsidRDefault="00405FAE">
      <w:pPr>
        <w:pStyle w:val="ConsPlusNormal"/>
        <w:jc w:val="both"/>
      </w:pPr>
    </w:p>
    <w:p w14:paraId="688A89A9" w14:textId="77777777" w:rsidR="00000000" w:rsidRDefault="00405FAE">
      <w:pPr>
        <w:pStyle w:val="ConsPlusNormal"/>
        <w:ind w:firstLine="540"/>
        <w:jc w:val="both"/>
      </w:pPr>
      <w:r>
        <w:t>1. Амбулаторный этап:</w:t>
      </w:r>
    </w:p>
    <w:p w14:paraId="25D00471" w14:textId="77777777" w:rsidR="00000000" w:rsidRDefault="00405FAE">
      <w:pPr>
        <w:pStyle w:val="ConsPlusNormal"/>
        <w:spacing w:before="200"/>
        <w:ind w:firstLine="540"/>
        <w:jc w:val="both"/>
      </w:pPr>
      <w:r>
        <w:t>1.1. удельный вес пациентов с ОКС, которым оказана медицинская помощь в соответствии с клиническим протоколом диагностики и лечения инфаркта миокарда, нестабильной ст</w:t>
      </w:r>
      <w:r>
        <w:t>енокардии, утвержденным постановлением Министерства здравоохранения Республики Беларусь от 6 июня 2017 г. N 59; целевой уровень - более 95%.</w:t>
      </w:r>
    </w:p>
    <w:p w14:paraId="38473A0B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  <w:gridCol w:w="1605"/>
      </w:tblGrid>
      <w:tr w:rsidR="00000000" w14:paraId="79BBA4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8D6B" w14:textId="77777777" w:rsidR="00000000" w:rsidRDefault="00405FAE">
            <w:pPr>
              <w:pStyle w:val="ConsPlusNormal"/>
              <w:jc w:val="center"/>
            </w:pPr>
            <w:r>
              <w:t>Кол-во пациентов с ОКС, которым оказана мед. помощь по клин. протоколам</w:t>
            </w:r>
          </w:p>
        </w:tc>
        <w:tc>
          <w:tcPr>
            <w:tcW w:w="16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F80C" w14:textId="77777777" w:rsidR="00000000" w:rsidRDefault="00405FAE">
            <w:pPr>
              <w:pStyle w:val="ConsPlusNormal"/>
              <w:jc w:val="center"/>
            </w:pPr>
            <w:r>
              <w:t>x 100%.</w:t>
            </w:r>
          </w:p>
        </w:tc>
      </w:tr>
      <w:tr w:rsidR="00000000" w14:paraId="19A39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C8D1" w14:textId="77777777" w:rsidR="00000000" w:rsidRDefault="00405FAE">
            <w:pPr>
              <w:pStyle w:val="ConsPlusNormal"/>
              <w:jc w:val="center"/>
            </w:pPr>
            <w:r>
              <w:t>Общее кол-во пациентов с ОКС, кот</w:t>
            </w:r>
            <w:r>
              <w:t>орым оказана мед. помощь</w:t>
            </w:r>
          </w:p>
        </w:tc>
        <w:tc>
          <w:tcPr>
            <w:tcW w:w="16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D5B6" w14:textId="77777777" w:rsidR="00000000" w:rsidRDefault="00405FAE">
            <w:pPr>
              <w:pStyle w:val="ConsPlusNormal"/>
              <w:jc w:val="center"/>
            </w:pPr>
          </w:p>
        </w:tc>
      </w:tr>
    </w:tbl>
    <w:p w14:paraId="338546EC" w14:textId="77777777" w:rsidR="00000000" w:rsidRDefault="00405FAE">
      <w:pPr>
        <w:pStyle w:val="ConsPlusNormal"/>
        <w:jc w:val="both"/>
      </w:pPr>
    </w:p>
    <w:p w14:paraId="1AFEA3B4" w14:textId="77777777" w:rsidR="00000000" w:rsidRDefault="00405FAE">
      <w:pPr>
        <w:pStyle w:val="ConsPlusNormal"/>
        <w:ind w:firstLine="540"/>
        <w:jc w:val="both"/>
      </w:pPr>
      <w:r>
        <w:t>2. Этап СМП:</w:t>
      </w:r>
    </w:p>
    <w:p w14:paraId="35DAED4F" w14:textId="77777777" w:rsidR="00000000" w:rsidRDefault="00405FAE">
      <w:pPr>
        <w:pStyle w:val="ConsPlusNormal"/>
        <w:spacing w:before="200"/>
        <w:ind w:firstLine="540"/>
        <w:jc w:val="both"/>
      </w:pPr>
      <w:r>
        <w:t>2.1. своевременность обращения пациентов за медицинской помощью в период до 30 минут от начала интенсивного болевого синдрома (индикатор качества профилактической работы); целевой уровень - более 70%.</w:t>
      </w:r>
    </w:p>
    <w:p w14:paraId="2ACEBD07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5"/>
        <w:gridCol w:w="1500"/>
      </w:tblGrid>
      <w:tr w:rsidR="00000000" w14:paraId="27A0A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7A67" w14:textId="77777777" w:rsidR="00000000" w:rsidRDefault="00405FAE">
            <w:pPr>
              <w:pStyle w:val="ConsPlusNormal"/>
              <w:jc w:val="center"/>
            </w:pPr>
            <w:r>
              <w:t>Кол-во пациентов с ОКС, обратившихся за мед. помощью в</w:t>
            </w:r>
            <w:r>
              <w:t xml:space="preserve"> течение 30 мин</w:t>
            </w:r>
          </w:p>
        </w:tc>
        <w:tc>
          <w:tcPr>
            <w:tcW w:w="15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987C" w14:textId="77777777" w:rsidR="00000000" w:rsidRDefault="00405FAE">
            <w:pPr>
              <w:pStyle w:val="ConsPlusNormal"/>
              <w:jc w:val="center"/>
            </w:pPr>
            <w:r>
              <w:t>x 100%;</w:t>
            </w:r>
          </w:p>
        </w:tc>
      </w:tr>
      <w:tr w:rsidR="00000000" w14:paraId="3FED7C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DFBD" w14:textId="77777777" w:rsidR="00000000" w:rsidRDefault="00405FAE">
            <w:pPr>
              <w:pStyle w:val="ConsPlusNormal"/>
              <w:jc w:val="center"/>
            </w:pPr>
            <w:r>
              <w:t>Общее кол-во пациентов с ОКС, обратившихся за мед. помощью</w:t>
            </w:r>
          </w:p>
        </w:tc>
        <w:tc>
          <w:tcPr>
            <w:tcW w:w="15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3C64" w14:textId="77777777" w:rsidR="00000000" w:rsidRDefault="00405FAE">
            <w:pPr>
              <w:pStyle w:val="ConsPlusNormal"/>
              <w:jc w:val="center"/>
            </w:pPr>
          </w:p>
        </w:tc>
      </w:tr>
    </w:tbl>
    <w:p w14:paraId="14DE7D92" w14:textId="77777777" w:rsidR="00000000" w:rsidRDefault="00405FAE">
      <w:pPr>
        <w:pStyle w:val="ConsPlusNormal"/>
        <w:jc w:val="both"/>
      </w:pPr>
    </w:p>
    <w:p w14:paraId="36840BFA" w14:textId="77777777" w:rsidR="00000000" w:rsidRDefault="00405FAE">
      <w:pPr>
        <w:pStyle w:val="ConsPlusNormal"/>
        <w:ind w:firstLine="540"/>
        <w:jc w:val="both"/>
      </w:pPr>
      <w:r>
        <w:t>2.2. время от ПМК до начала тромболитической терапии (оценка выполняется в случаях проведения тромболитической терапии); целевой уровень - не более 30 минут;</w:t>
      </w:r>
    </w:p>
    <w:p w14:paraId="02CC49AB" w14:textId="77777777" w:rsidR="00000000" w:rsidRDefault="00405FAE">
      <w:pPr>
        <w:pStyle w:val="ConsPlusNormal"/>
        <w:spacing w:before="200"/>
        <w:ind w:firstLine="540"/>
        <w:jc w:val="both"/>
      </w:pPr>
      <w:r>
        <w:t>2.3. удельный вес пациентов с ОКС с подъемом сегмента ST (ОКСпST), доставленных в межрайонный цент</w:t>
      </w:r>
      <w:r>
        <w:t>р для проведения РЭВ в течение 60 минут с момента ПМК; целевой уровень - более 50% (не учитываются случаи во время поломки либо простоя ангиографического оборудования по причине отсутствия расходного инструментария).</w:t>
      </w:r>
    </w:p>
    <w:p w14:paraId="7232E269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  <w:gridCol w:w="1530"/>
      </w:tblGrid>
      <w:tr w:rsidR="00000000" w14:paraId="2FFD8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C651" w14:textId="77777777" w:rsidR="00000000" w:rsidRDefault="00405FAE">
            <w:pPr>
              <w:pStyle w:val="ConsPlusNormal"/>
              <w:jc w:val="center"/>
            </w:pPr>
            <w:r>
              <w:t>Кол-во пациентов с ОКСпST, доставленны</w:t>
            </w:r>
            <w:r>
              <w:t>х в течение 60 мин от ПМК для РЭВ</w:t>
            </w:r>
          </w:p>
        </w:tc>
        <w:tc>
          <w:tcPr>
            <w:tcW w:w="15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D8B0" w14:textId="77777777" w:rsidR="00000000" w:rsidRDefault="00405FAE">
            <w:pPr>
              <w:pStyle w:val="ConsPlusNormal"/>
              <w:jc w:val="center"/>
            </w:pPr>
            <w:r>
              <w:t>x 100%;</w:t>
            </w:r>
          </w:p>
        </w:tc>
      </w:tr>
      <w:tr w:rsidR="00000000" w14:paraId="04C41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E462" w14:textId="77777777" w:rsidR="00000000" w:rsidRDefault="00405FAE">
            <w:pPr>
              <w:pStyle w:val="ConsPlusNormal"/>
              <w:jc w:val="center"/>
            </w:pPr>
            <w:r>
              <w:t>Общее кол-во доставленных пациентов с ОКСпST от ПМК для РЭВ</w:t>
            </w:r>
          </w:p>
        </w:tc>
        <w:tc>
          <w:tcPr>
            <w:tcW w:w="15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41A3" w14:textId="77777777" w:rsidR="00000000" w:rsidRDefault="00405FAE">
            <w:pPr>
              <w:pStyle w:val="ConsPlusNormal"/>
              <w:jc w:val="center"/>
            </w:pPr>
          </w:p>
        </w:tc>
      </w:tr>
    </w:tbl>
    <w:p w14:paraId="721AE23C" w14:textId="77777777" w:rsidR="00000000" w:rsidRDefault="00405FAE">
      <w:pPr>
        <w:pStyle w:val="ConsPlusNormal"/>
        <w:jc w:val="both"/>
      </w:pPr>
    </w:p>
    <w:p w14:paraId="0C65FB74" w14:textId="77777777" w:rsidR="00000000" w:rsidRDefault="00405FAE">
      <w:pPr>
        <w:pStyle w:val="ConsPlusNormal"/>
        <w:ind w:firstLine="540"/>
        <w:jc w:val="both"/>
      </w:pPr>
      <w:r>
        <w:t xml:space="preserve">2.4. использование технологии телемедицинской передачи ЭКГ; целевой </w:t>
      </w:r>
      <w:r>
        <w:t>уровень - не менее 95% от всех выездов фельдшерских бригад (ФБ) СМП по поводу ОКС с подъемом сегмента ST.</w:t>
      </w:r>
    </w:p>
    <w:p w14:paraId="3F6C5B18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  <w:gridCol w:w="1605"/>
      </w:tblGrid>
      <w:tr w:rsidR="00000000" w14:paraId="7C8DF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8C46" w14:textId="77777777" w:rsidR="00000000" w:rsidRDefault="00405FAE">
            <w:pPr>
              <w:pStyle w:val="ConsPlusNormal"/>
              <w:jc w:val="center"/>
            </w:pPr>
            <w:r>
              <w:lastRenderedPageBreak/>
              <w:t>Кол-во телемедицинских передач ЭКГ с выездов ФБ по поводу ОКСпST</w:t>
            </w:r>
          </w:p>
        </w:tc>
        <w:tc>
          <w:tcPr>
            <w:tcW w:w="16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2A21" w14:textId="77777777" w:rsidR="00000000" w:rsidRDefault="00405FAE">
            <w:pPr>
              <w:pStyle w:val="ConsPlusNormal"/>
              <w:jc w:val="center"/>
            </w:pPr>
            <w:r>
              <w:t>x 100%.</w:t>
            </w:r>
          </w:p>
        </w:tc>
      </w:tr>
      <w:tr w:rsidR="00000000" w14:paraId="1F9029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4863" w14:textId="77777777" w:rsidR="00000000" w:rsidRDefault="00405FAE">
            <w:pPr>
              <w:pStyle w:val="ConsPlusNormal"/>
              <w:jc w:val="center"/>
            </w:pPr>
            <w:r>
              <w:t>Общее количество выездов ФБ по поводу ОКСпST</w:t>
            </w:r>
          </w:p>
        </w:tc>
        <w:tc>
          <w:tcPr>
            <w:tcW w:w="16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EB49" w14:textId="77777777" w:rsidR="00000000" w:rsidRDefault="00405FAE">
            <w:pPr>
              <w:pStyle w:val="ConsPlusNormal"/>
              <w:jc w:val="center"/>
            </w:pPr>
          </w:p>
        </w:tc>
      </w:tr>
    </w:tbl>
    <w:p w14:paraId="78A67F0E" w14:textId="77777777" w:rsidR="00000000" w:rsidRDefault="00405FAE">
      <w:pPr>
        <w:pStyle w:val="ConsPlusNormal"/>
        <w:jc w:val="both"/>
      </w:pPr>
    </w:p>
    <w:p w14:paraId="2665413C" w14:textId="77777777" w:rsidR="00000000" w:rsidRDefault="00405FAE">
      <w:pPr>
        <w:pStyle w:val="ConsPlusNormal"/>
        <w:ind w:firstLine="540"/>
        <w:jc w:val="both"/>
      </w:pPr>
      <w:r>
        <w:t>3. Стационарный этап:</w:t>
      </w:r>
    </w:p>
    <w:p w14:paraId="15846C19" w14:textId="77777777" w:rsidR="00000000" w:rsidRDefault="00405FAE">
      <w:pPr>
        <w:pStyle w:val="ConsPlusNormal"/>
        <w:spacing w:before="200"/>
        <w:ind w:firstLine="540"/>
        <w:jc w:val="both"/>
      </w:pPr>
      <w:r>
        <w:t>3.1. удельный вес пациентов с ОКС с подъемом сегмента ST, подвергшихся РЭВ, в течение первых 90 минут с момента ПМК; целевой уровень - более 70%.</w:t>
      </w:r>
    </w:p>
    <w:p w14:paraId="1433B1A2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  <w:gridCol w:w="1575"/>
      </w:tblGrid>
      <w:tr w:rsidR="00000000" w14:paraId="36A53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5052" w14:textId="77777777" w:rsidR="00000000" w:rsidRDefault="00405FAE">
            <w:pPr>
              <w:pStyle w:val="ConsPlusNormal"/>
              <w:jc w:val="center"/>
            </w:pPr>
            <w:r>
              <w:t>Кол-во пациентов с ОКСпST, кот. выполнено РЭВ в течение 90 мин от ПМК</w:t>
            </w:r>
          </w:p>
        </w:tc>
        <w:tc>
          <w:tcPr>
            <w:tcW w:w="15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23AC" w14:textId="77777777" w:rsidR="00000000" w:rsidRDefault="00405FAE">
            <w:pPr>
              <w:pStyle w:val="ConsPlusNormal"/>
              <w:jc w:val="center"/>
            </w:pPr>
            <w:r>
              <w:t>x 100%;</w:t>
            </w:r>
          </w:p>
        </w:tc>
      </w:tr>
      <w:tr w:rsidR="00000000" w14:paraId="7D510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D892" w14:textId="77777777" w:rsidR="00000000" w:rsidRDefault="00405FAE">
            <w:pPr>
              <w:pStyle w:val="ConsPlusNormal"/>
              <w:jc w:val="center"/>
            </w:pPr>
            <w:r>
              <w:t>Общее ко</w:t>
            </w:r>
            <w:r>
              <w:t>л-во пациентов с ОКСпST с выполненным РЭВ</w:t>
            </w:r>
          </w:p>
        </w:tc>
        <w:tc>
          <w:tcPr>
            <w:tcW w:w="15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4A8F" w14:textId="77777777" w:rsidR="00000000" w:rsidRDefault="00405FAE">
            <w:pPr>
              <w:pStyle w:val="ConsPlusNormal"/>
              <w:jc w:val="center"/>
            </w:pPr>
          </w:p>
        </w:tc>
      </w:tr>
    </w:tbl>
    <w:p w14:paraId="291131DB" w14:textId="77777777" w:rsidR="00000000" w:rsidRDefault="00405FAE">
      <w:pPr>
        <w:pStyle w:val="ConsPlusNormal"/>
        <w:jc w:val="both"/>
      </w:pPr>
    </w:p>
    <w:p w14:paraId="13B26C1D" w14:textId="77777777" w:rsidR="00000000" w:rsidRDefault="00405FAE">
      <w:pPr>
        <w:pStyle w:val="ConsPlusNormal"/>
        <w:ind w:firstLine="540"/>
        <w:jc w:val="both"/>
      </w:pPr>
      <w:r>
        <w:t>3.2. уровень летальности, в том числе в трудоспособном возрасте, при остром инфаркте миокарда (всего, крупноочаговый инфаркт миокарда, повторный инфаркт миокарда).</w:t>
      </w:r>
    </w:p>
    <w:p w14:paraId="3EEA47F0" w14:textId="77777777" w:rsidR="00000000" w:rsidRDefault="00405FAE">
      <w:pPr>
        <w:pStyle w:val="ConsPlusNormal"/>
        <w:spacing w:before="200"/>
        <w:ind w:firstLine="540"/>
        <w:jc w:val="both"/>
      </w:pPr>
      <w:r>
        <w:t>4. Региональные показатели:</w:t>
      </w:r>
    </w:p>
    <w:p w14:paraId="3CD68CE4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уровень смертности </w:t>
      </w:r>
      <w:r>
        <w:t>от инфаркта миокарда за календарный год (всего и в трудоспособном возрасте);</w:t>
      </w:r>
    </w:p>
    <w:p w14:paraId="0DE7E458" w14:textId="77777777" w:rsidR="00000000" w:rsidRDefault="00405FAE">
      <w:pPr>
        <w:pStyle w:val="ConsPlusNormal"/>
        <w:spacing w:before="200"/>
        <w:ind w:firstLine="540"/>
        <w:jc w:val="both"/>
      </w:pPr>
      <w:r>
        <w:t>уровень смертности от всех острых форм ишемической болезни сердца за календарный год (всего и в трудоспособном возрасте);</w:t>
      </w:r>
    </w:p>
    <w:p w14:paraId="142FAB75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удельный вес </w:t>
      </w:r>
      <w:r>
        <w:t>пациентов с ОКС с подъемом сегмента ST, которым было выполнено РЭВ; целевой уровень - более 75%.</w:t>
      </w:r>
    </w:p>
    <w:p w14:paraId="03D176C8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  <w:gridCol w:w="1605"/>
      </w:tblGrid>
      <w:tr w:rsidR="00000000" w14:paraId="00D15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90E1" w14:textId="77777777" w:rsidR="00000000" w:rsidRDefault="00405FAE">
            <w:pPr>
              <w:pStyle w:val="ConsPlusNormal"/>
              <w:jc w:val="center"/>
            </w:pPr>
            <w:r>
              <w:t>Кол-во пациентов с ОКСпST с выполненным РЭВ</w:t>
            </w:r>
          </w:p>
        </w:tc>
        <w:tc>
          <w:tcPr>
            <w:tcW w:w="16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C061" w14:textId="77777777" w:rsidR="00000000" w:rsidRDefault="00405FAE">
            <w:pPr>
              <w:pStyle w:val="ConsPlusNormal"/>
              <w:jc w:val="center"/>
            </w:pPr>
            <w:r>
              <w:t>x 100%;</w:t>
            </w:r>
          </w:p>
        </w:tc>
      </w:tr>
      <w:tr w:rsidR="00000000" w14:paraId="3AF0C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B096" w14:textId="77777777" w:rsidR="00000000" w:rsidRDefault="00405FAE">
            <w:pPr>
              <w:pStyle w:val="ConsPlusNormal"/>
              <w:jc w:val="center"/>
            </w:pPr>
            <w:r>
              <w:t>Общее кол-во пациентов с ОКСпST, поступивших в стационар</w:t>
            </w:r>
          </w:p>
        </w:tc>
        <w:tc>
          <w:tcPr>
            <w:tcW w:w="16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598A" w14:textId="77777777" w:rsidR="00000000" w:rsidRDefault="00405FAE">
            <w:pPr>
              <w:pStyle w:val="ConsPlusNormal"/>
              <w:jc w:val="center"/>
            </w:pPr>
          </w:p>
        </w:tc>
      </w:tr>
    </w:tbl>
    <w:p w14:paraId="426EAFC1" w14:textId="77777777" w:rsidR="00000000" w:rsidRDefault="00405FAE">
      <w:pPr>
        <w:pStyle w:val="ConsPlusNormal"/>
        <w:jc w:val="both"/>
      </w:pPr>
    </w:p>
    <w:p w14:paraId="2B5955CF" w14:textId="77777777" w:rsidR="00000000" w:rsidRDefault="00405FAE">
      <w:pPr>
        <w:pStyle w:val="ConsPlusNormal"/>
        <w:ind w:firstLine="540"/>
        <w:jc w:val="both"/>
      </w:pPr>
      <w:r>
        <w:t>удельный вес пациентов трудоспособного возрас</w:t>
      </w:r>
      <w:r>
        <w:t>та (ТВ), перенесших острый/повторный инфаркт миокарда (О/ПИМ), прошедших реабилитацию в стационарных условиях; целевой уровень - 90%.</w:t>
      </w:r>
    </w:p>
    <w:p w14:paraId="1D3D9FBF" w14:textId="77777777" w:rsidR="00000000" w:rsidRDefault="00405FAE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5"/>
        <w:gridCol w:w="1500"/>
      </w:tblGrid>
      <w:tr w:rsidR="00000000" w14:paraId="592CC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290B" w14:textId="77777777" w:rsidR="00000000" w:rsidRDefault="00405FAE">
            <w:pPr>
              <w:pStyle w:val="ConsPlusNormal"/>
              <w:jc w:val="center"/>
            </w:pPr>
            <w:r>
              <w:t>Кол-во пациентов ТВ, перенесших О/ПИМ, прошедших реаб. в стац. условиях</w:t>
            </w:r>
          </w:p>
        </w:tc>
        <w:tc>
          <w:tcPr>
            <w:tcW w:w="15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6FDA" w14:textId="77777777" w:rsidR="00000000" w:rsidRDefault="00405FAE">
            <w:pPr>
              <w:pStyle w:val="ConsPlusNormal"/>
              <w:jc w:val="center"/>
            </w:pPr>
            <w:r>
              <w:t>x 100%.</w:t>
            </w:r>
          </w:p>
        </w:tc>
      </w:tr>
      <w:tr w:rsidR="00000000" w14:paraId="38256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2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84D4" w14:textId="77777777" w:rsidR="00000000" w:rsidRDefault="00405FAE">
            <w:pPr>
              <w:pStyle w:val="ConsPlusNormal"/>
              <w:jc w:val="center"/>
            </w:pPr>
            <w:r>
              <w:t>Общее кол-во пациентов ТВ, перенесших О/ПИМ</w:t>
            </w:r>
          </w:p>
        </w:tc>
        <w:tc>
          <w:tcPr>
            <w:tcW w:w="15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7195" w14:textId="77777777" w:rsidR="00000000" w:rsidRDefault="00405FAE">
            <w:pPr>
              <w:pStyle w:val="ConsPlusNormal"/>
              <w:jc w:val="center"/>
            </w:pPr>
          </w:p>
        </w:tc>
      </w:tr>
    </w:tbl>
    <w:p w14:paraId="0DDFE286" w14:textId="77777777" w:rsidR="00000000" w:rsidRDefault="00405FAE">
      <w:pPr>
        <w:pStyle w:val="ConsPlusNormal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101D797" w14:textId="77777777" w:rsidR="00000000" w:rsidRDefault="00405FAE">
      <w:pPr>
        <w:pStyle w:val="ConsPlusNormal"/>
        <w:jc w:val="both"/>
      </w:pPr>
    </w:p>
    <w:p w14:paraId="1EB89C71" w14:textId="77777777" w:rsidR="00000000" w:rsidRDefault="00405FAE">
      <w:pPr>
        <w:pStyle w:val="ConsPlusNormal"/>
        <w:jc w:val="both"/>
      </w:pPr>
    </w:p>
    <w:p w14:paraId="2B5653B3" w14:textId="77777777" w:rsidR="00000000" w:rsidRDefault="00405FAE">
      <w:pPr>
        <w:pStyle w:val="ConsPlusNormal"/>
        <w:jc w:val="both"/>
      </w:pPr>
    </w:p>
    <w:p w14:paraId="29D5B9CB" w14:textId="77777777" w:rsidR="00000000" w:rsidRDefault="00405FAE">
      <w:pPr>
        <w:pStyle w:val="ConsPlusNormal"/>
        <w:jc w:val="both"/>
      </w:pPr>
    </w:p>
    <w:p w14:paraId="07456A54" w14:textId="77777777" w:rsidR="00000000" w:rsidRDefault="00405FAE">
      <w:pPr>
        <w:pStyle w:val="ConsPlusNormal"/>
        <w:jc w:val="both"/>
      </w:pPr>
    </w:p>
    <w:p w14:paraId="0D0CDA3B" w14:textId="77777777" w:rsidR="00000000" w:rsidRDefault="00405FAE">
      <w:pPr>
        <w:pStyle w:val="ConsPlusNonformat"/>
        <w:jc w:val="both"/>
      </w:pPr>
      <w:r>
        <w:t xml:space="preserve">                                               УТВЕРЖДЕНО</w:t>
      </w:r>
    </w:p>
    <w:p w14:paraId="411CC860" w14:textId="77777777" w:rsidR="00000000" w:rsidRDefault="00405FAE">
      <w:pPr>
        <w:pStyle w:val="ConsPlusNonformat"/>
        <w:jc w:val="both"/>
      </w:pPr>
      <w:r>
        <w:t xml:space="preserve">                                               Приказ</w:t>
      </w:r>
    </w:p>
    <w:p w14:paraId="083FD489" w14:textId="77777777" w:rsidR="00000000" w:rsidRDefault="00405FAE">
      <w:pPr>
        <w:pStyle w:val="ConsPlusNonformat"/>
        <w:jc w:val="both"/>
      </w:pPr>
      <w:r>
        <w:t xml:space="preserve">                                               Министерства здравоо</w:t>
      </w:r>
      <w:r>
        <w:t>хранения</w:t>
      </w:r>
    </w:p>
    <w:p w14:paraId="13C92E17" w14:textId="77777777" w:rsidR="00000000" w:rsidRDefault="00405FAE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27F9E32D" w14:textId="77777777" w:rsidR="00000000" w:rsidRDefault="00405FAE">
      <w:pPr>
        <w:pStyle w:val="ConsPlusNonformat"/>
        <w:jc w:val="both"/>
      </w:pPr>
      <w:r>
        <w:t xml:space="preserve">                                               24.08.2022 N 1100</w:t>
      </w:r>
    </w:p>
    <w:p w14:paraId="388CFF61" w14:textId="77777777" w:rsidR="00000000" w:rsidRDefault="00405FAE">
      <w:pPr>
        <w:pStyle w:val="ConsPlusNormal"/>
        <w:jc w:val="both"/>
      </w:pPr>
    </w:p>
    <w:p w14:paraId="142DF166" w14:textId="77777777" w:rsidR="00000000" w:rsidRDefault="00405FAE">
      <w:pPr>
        <w:pStyle w:val="ConsPlusTitle"/>
        <w:jc w:val="center"/>
      </w:pPr>
      <w:bookmarkStart w:id="7" w:name="Par219"/>
      <w:bookmarkEnd w:id="7"/>
      <w:r>
        <w:t>ИНСТРУКЦИЯ О ПОРЯДКЕ ОКАЗАНИЯ МЕДИЦИНСКОЙ ПОМОЩИ ПАЦИЕНТАМ С ОСТРЫМ НАРУШЕНИЕМ МОЗГОВОГО КРОВООБРАЩЕНИ</w:t>
      </w:r>
      <w:r>
        <w:t>Я В МЕЖРАЙОННОМ ЦЕНТРЕ</w:t>
      </w:r>
    </w:p>
    <w:p w14:paraId="4192A2A2" w14:textId="77777777" w:rsidR="00000000" w:rsidRDefault="00405FA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14088208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3175ECC1" w14:textId="77777777" w:rsidR="00000000" w:rsidRDefault="00405FA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Минздрава от 02.04.2024 N 464)</w:t>
            </w:r>
          </w:p>
        </w:tc>
      </w:tr>
    </w:tbl>
    <w:p w14:paraId="25711F2F" w14:textId="77777777" w:rsidR="00000000" w:rsidRDefault="00405FAE">
      <w:pPr>
        <w:pStyle w:val="ConsPlusNormal"/>
        <w:jc w:val="both"/>
      </w:pPr>
    </w:p>
    <w:p w14:paraId="7FC62357" w14:textId="77777777" w:rsidR="00000000" w:rsidRDefault="00405FAE">
      <w:pPr>
        <w:pStyle w:val="ConsPlusNormal"/>
        <w:ind w:firstLine="540"/>
        <w:jc w:val="both"/>
      </w:pPr>
      <w:r>
        <w:t>1. Настоящая Инструкция устанавливает порядок оказания медицинской помощи пациентам с острым нарушением мозгового кровообращения (далее - ОНМК) в межрайонном центре.</w:t>
      </w:r>
    </w:p>
    <w:p w14:paraId="6F46B591" w14:textId="77777777" w:rsidR="00000000" w:rsidRDefault="00405FAE">
      <w:pPr>
        <w:pStyle w:val="ConsPlusNormal"/>
        <w:spacing w:before="200"/>
        <w:ind w:firstLine="540"/>
        <w:jc w:val="both"/>
      </w:pPr>
      <w:r>
        <w:t>2. Медицинский работник при оказании медицинской помощи пациенту с подозрением на ОНМК в а</w:t>
      </w:r>
      <w:r>
        <w:t>мбулаторных условиях:</w:t>
      </w:r>
    </w:p>
    <w:p w14:paraId="06B06A59" w14:textId="77777777" w:rsidR="00000000" w:rsidRDefault="00405FAE">
      <w:pPr>
        <w:pStyle w:val="ConsPlusNormal"/>
        <w:spacing w:before="200"/>
        <w:ind w:firstLine="540"/>
        <w:jc w:val="both"/>
      </w:pPr>
      <w:r>
        <w:t>осуществляет диагностические и лечебные мероприятия в соответствии с клиническим протоколом "Диагностика и лечение пациентов с заболеваниями нервной системы (взрослое население)", утвержденным постановлением Министерства здравоохранен</w:t>
      </w:r>
      <w:r>
        <w:t>ия Республики Беларусь от 18 января 2018 г. N 8;</w:t>
      </w:r>
    </w:p>
    <w:p w14:paraId="38EC96C0" w14:textId="77777777" w:rsidR="00000000" w:rsidRDefault="00405FAE">
      <w:pPr>
        <w:pStyle w:val="ConsPlusNormal"/>
        <w:spacing w:before="200"/>
        <w:ind w:firstLine="540"/>
        <w:jc w:val="both"/>
      </w:pPr>
      <w:r>
        <w:t>устанавливает наличие (отсутствие) медицинских показаний для госпитализации;</w:t>
      </w:r>
    </w:p>
    <w:p w14:paraId="676002FD" w14:textId="77777777" w:rsidR="00000000" w:rsidRDefault="00405FAE">
      <w:pPr>
        <w:pStyle w:val="ConsPlusNormal"/>
        <w:spacing w:before="200"/>
        <w:ind w:firstLine="540"/>
        <w:jc w:val="both"/>
      </w:pPr>
      <w:r>
        <w:t>вызывает бригаду скорой медицинской помощи (далее - бригада СМП) (при необходимости).</w:t>
      </w:r>
    </w:p>
    <w:p w14:paraId="695F8970" w14:textId="77777777" w:rsidR="00000000" w:rsidRDefault="00405FAE">
      <w:pPr>
        <w:pStyle w:val="ConsPlusNormal"/>
        <w:spacing w:before="200"/>
        <w:ind w:firstLine="540"/>
        <w:jc w:val="both"/>
      </w:pPr>
      <w:r>
        <w:t>3. При вызове бригады СМП к пациенту с подоз</w:t>
      </w:r>
      <w:r>
        <w:t>рением на ОНМК фельдшером по приему и передаче вызовов станции (отделения) СМП во время телефонного опроса оформляется специальный опросник "лицо-рука-речь-время" с целью уточнения времени начала заболевания (у пациента, родственников или иных лиц).</w:t>
      </w:r>
    </w:p>
    <w:p w14:paraId="11286C40" w14:textId="77777777" w:rsidR="00000000" w:rsidRDefault="00405FAE">
      <w:pPr>
        <w:pStyle w:val="ConsPlusNormal"/>
        <w:spacing w:before="200"/>
        <w:ind w:firstLine="540"/>
        <w:jc w:val="both"/>
      </w:pPr>
      <w:r>
        <w:t>4. Бри</w:t>
      </w:r>
      <w:r>
        <w:t>гада СМП оказывает медицинскую помощь пациентам с подозрением на ОНМК в соответствии с клиническим протоколом "Диагностика и лечение пациентов с заболеваниями нервной системы (взрослое население)", утвержденным постановлением Министерства здравоохранения Р</w:t>
      </w:r>
      <w:r>
        <w:t>еспублики Беларусь от 18 января 2018 г. N 8, определяет тактику транспортировки пациентов с подозрением на ОНМК.</w:t>
      </w:r>
    </w:p>
    <w:p w14:paraId="56CD8F91" w14:textId="77777777" w:rsidR="00000000" w:rsidRDefault="00405FAE">
      <w:pPr>
        <w:pStyle w:val="ConsPlusNormal"/>
        <w:spacing w:before="200"/>
        <w:ind w:firstLine="540"/>
        <w:jc w:val="both"/>
      </w:pPr>
      <w:r>
        <w:t>5. Бригада СМП транспортирует пациента с подозрением на ОНМК при отсутствии медицинских противопоказаний и возможности доставки в течение 4,5 ч</w:t>
      </w:r>
      <w:r>
        <w:t>асов от момента начала заболевания в межрайонный центр.</w:t>
      </w:r>
    </w:p>
    <w:p w14:paraId="27098FFC" w14:textId="77777777" w:rsidR="00000000" w:rsidRDefault="00405FAE">
      <w:pPr>
        <w:pStyle w:val="ConsPlusNormal"/>
        <w:spacing w:before="200"/>
        <w:ind w:firstLine="540"/>
        <w:jc w:val="both"/>
      </w:pPr>
      <w:r>
        <w:t>В случае угнетения сознания до комы и (или) если время от начала заболевания до прогнозируемого времени доставки пациента в межрайонный центр составляет более 4,5 часов, пациент транспортируется в бли</w:t>
      </w:r>
      <w:r>
        <w:t>жайшую больничную организацию, имеющую возможность проведения нейровизуализации и оказания медицинской помощи пациентам с подозрением на ОНМК.</w:t>
      </w:r>
    </w:p>
    <w:p w14:paraId="34E57603" w14:textId="77777777" w:rsidR="00000000" w:rsidRDefault="00405FAE">
      <w:pPr>
        <w:pStyle w:val="ConsPlusNormal"/>
        <w:spacing w:before="200"/>
        <w:ind w:firstLine="540"/>
        <w:jc w:val="both"/>
      </w:pPr>
      <w:r>
        <w:t>6. Бригада СМП при транспортировке пациента с подозрением на ОНМК в межрайонный центр или ближайшую больничную ор</w:t>
      </w:r>
      <w:r>
        <w:t>ганизацию:</w:t>
      </w:r>
    </w:p>
    <w:p w14:paraId="61ED2528" w14:textId="77777777" w:rsidR="00000000" w:rsidRDefault="00405FAE">
      <w:pPr>
        <w:pStyle w:val="ConsPlusNormal"/>
        <w:spacing w:before="200"/>
        <w:ind w:firstLine="540"/>
        <w:jc w:val="both"/>
      </w:pPr>
      <w:r>
        <w:t>информирует дежурного врача приемного отделения о предполагаемом времени прибытия пациента;</w:t>
      </w:r>
    </w:p>
    <w:p w14:paraId="61B76817" w14:textId="77777777" w:rsidR="00000000" w:rsidRDefault="00405FAE">
      <w:pPr>
        <w:pStyle w:val="ConsPlusNormal"/>
        <w:spacing w:before="200"/>
        <w:ind w:firstLine="540"/>
        <w:jc w:val="both"/>
      </w:pPr>
      <w:r>
        <w:t>доставляет пациента в кабинет компьютерной томографии (далее - КТ) или магнитно-резонансной томографии (далее - МРТ), минуя приемное отделение, с последу</w:t>
      </w:r>
      <w:r>
        <w:t>ющей передачей пациента дежурному врачу приемного отделения или дежурному врачу-неврологу.</w:t>
      </w:r>
    </w:p>
    <w:p w14:paraId="54211E29" w14:textId="77777777" w:rsidR="00000000" w:rsidRDefault="00405FAE">
      <w:pPr>
        <w:pStyle w:val="ConsPlusNormal"/>
        <w:spacing w:before="200"/>
        <w:ind w:firstLine="540"/>
        <w:jc w:val="both"/>
      </w:pPr>
      <w:r>
        <w:t>7. Дежурный врач-невролог осуществляет оценку жизненно важных функций организма пациента, неврологического статуса, устанавливает диагноз ОНМК, определяет медицински</w:t>
      </w:r>
      <w:r>
        <w:t xml:space="preserve">е показания для </w:t>
      </w:r>
      <w:r>
        <w:lastRenderedPageBreak/>
        <w:t>госпитализации, оптимальную схему обследования и лечения в соответствии с клиническим протоколом "Диагностика и лечение пациентов с заболеваниями нервной системы (взрослое население)", утвержденным постановлением Министерства здравоохранени</w:t>
      </w:r>
      <w:r>
        <w:t>я Республики Беларусь от 18 января 2018 г. N 8.</w:t>
      </w:r>
    </w:p>
    <w:p w14:paraId="158EE2A3" w14:textId="77777777" w:rsidR="00000000" w:rsidRDefault="00405FAE">
      <w:pPr>
        <w:pStyle w:val="ConsPlusNormal"/>
        <w:spacing w:before="200"/>
        <w:ind w:firstLine="540"/>
        <w:jc w:val="both"/>
      </w:pPr>
      <w:r>
        <w:t>8. Пациентам с ОНМК по ишемическому типу, госпитализированным в первые 6 часов от начала заболевания, врач-рентгенолог / врач лучевой диагностики проводит оценку данных нейровизуализации с расчетом баллов по шкале ASPECTS по форме согласно приложению 1 и о</w:t>
      </w:r>
      <w:r>
        <w:t>ценку степени повреждения головного мозга, включая оценку коллатерального кровотока. При оценке 6 баллов и более врач-рентгенолог / врач лучевой диагностики выполняет исследование сосудов головного мозга (КТ-ангиография (от дуги аорты) или МР-ангиография).</w:t>
      </w:r>
    </w:p>
    <w:p w14:paraId="25995597" w14:textId="77777777" w:rsidR="00000000" w:rsidRDefault="00405FAE">
      <w:pPr>
        <w:pStyle w:val="ConsPlusNormal"/>
        <w:spacing w:before="200"/>
        <w:ind w:firstLine="540"/>
        <w:jc w:val="both"/>
      </w:pPr>
      <w:r>
        <w:t>После получения результатов КТ-ангиографии или МР-ангиографии и других диагностических исследований определяются медицинские показания к проведению тромболитической терапии (далее - ТЛТ) и рентгенэндоваскулярному хирургическому вмешательству (далее - РЭХВ</w:t>
      </w:r>
      <w:r>
        <w:t>).</w:t>
      </w:r>
    </w:p>
    <w:p w14:paraId="06755B8C" w14:textId="77777777" w:rsidR="00000000" w:rsidRDefault="00405FAE">
      <w:pPr>
        <w:pStyle w:val="ConsPlusNormal"/>
        <w:spacing w:before="200"/>
        <w:ind w:firstLine="540"/>
        <w:jc w:val="both"/>
      </w:pPr>
      <w:r>
        <w:t>9. Врачом-неврологом и (или) врачом - анестезиологом-реаниматологом после получения данных нейровизуализации и при отсутствии медицинских противопоказаний принимается решение о проведении ТЛТ. Системная ТЛТ начинается в кабинете КТ (МРТ).</w:t>
      </w:r>
    </w:p>
    <w:p w14:paraId="5F45CD98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Рекомендуется </w:t>
      </w:r>
      <w:r>
        <w:t>придерживаться следующей последовательности:</w:t>
      </w:r>
    </w:p>
    <w:p w14:paraId="13ED21DA" w14:textId="77777777" w:rsidR="00000000" w:rsidRDefault="00405FAE">
      <w:pPr>
        <w:pStyle w:val="ConsPlusNormal"/>
        <w:spacing w:before="200"/>
        <w:ind w:firstLine="540"/>
        <w:jc w:val="both"/>
      </w:pPr>
      <w:r>
        <w:t>1-й шаг - начало ТЛТ (болюсное введение 10% от суммарной расчетной дозы лекарственного препарата "Альтеплаза");</w:t>
      </w:r>
    </w:p>
    <w:p w14:paraId="0B3875AD" w14:textId="77777777" w:rsidR="00000000" w:rsidRDefault="00405FAE">
      <w:pPr>
        <w:pStyle w:val="ConsPlusNormal"/>
        <w:spacing w:before="200"/>
        <w:ind w:firstLine="540"/>
        <w:jc w:val="both"/>
      </w:pPr>
      <w:r>
        <w:t>2-й шаг - выполнение КТ-(МР-)ангиографии;</w:t>
      </w:r>
    </w:p>
    <w:p w14:paraId="10071A49" w14:textId="77777777" w:rsidR="00000000" w:rsidRDefault="00405FAE">
      <w:pPr>
        <w:pStyle w:val="ConsPlusNormal"/>
        <w:spacing w:before="200"/>
        <w:ind w:firstLine="540"/>
        <w:jc w:val="both"/>
      </w:pPr>
      <w:r>
        <w:t>3-й шаг - начало внутривенной инфузии (введение 90% от су</w:t>
      </w:r>
      <w:r>
        <w:t>ммарной расчетной дозы лекарственного препарата "Альтеплаза" сразу после окончания КТ-(МР-)ангиографии).</w:t>
      </w:r>
    </w:p>
    <w:p w14:paraId="7B880AFA" w14:textId="77777777" w:rsidR="00000000" w:rsidRDefault="00405FAE">
      <w:pPr>
        <w:pStyle w:val="ConsPlusNormal"/>
        <w:spacing w:before="200"/>
        <w:ind w:firstLine="540"/>
        <w:jc w:val="both"/>
      </w:pPr>
      <w:r>
        <w:t>Внутривенная инфузия лекарственного препарата "Альтеплаза" проводится в течение последующей транспортировки пациента в отделение (кабинет) рентгенэндов</w:t>
      </w:r>
      <w:r>
        <w:t>аскулярной хирургии. При невозможности нейровизуализации ТЛТ не проводится.</w:t>
      </w:r>
    </w:p>
    <w:p w14:paraId="2D1A1C52" w14:textId="77777777" w:rsidR="00000000" w:rsidRDefault="00405FAE">
      <w:pPr>
        <w:pStyle w:val="ConsPlusNormal"/>
        <w:spacing w:before="200"/>
        <w:ind w:firstLine="540"/>
        <w:jc w:val="both"/>
      </w:pPr>
      <w:r>
        <w:t>10. Врач - рентгеноэндоваскулярный хирург оценивает соответствие пациента существующим критериям отбора для проведения РЭХВ:</w:t>
      </w:r>
    </w:p>
    <w:p w14:paraId="5DBD473C" w14:textId="77777777" w:rsidR="00000000" w:rsidRDefault="00405FAE">
      <w:pPr>
        <w:pStyle w:val="ConsPlusNormal"/>
        <w:spacing w:before="200"/>
        <w:ind w:firstLine="540"/>
        <w:jc w:val="both"/>
      </w:pPr>
      <w:r>
        <w:t>время от начала ОНМК - не более 6 часов;</w:t>
      </w:r>
    </w:p>
    <w:p w14:paraId="4162B3A5" w14:textId="77777777" w:rsidR="00000000" w:rsidRDefault="00405FAE">
      <w:pPr>
        <w:pStyle w:val="ConsPlusNormal"/>
        <w:spacing w:before="200"/>
        <w:ind w:firstLine="540"/>
        <w:jc w:val="both"/>
      </w:pPr>
      <w:r>
        <w:t>тромботическая</w:t>
      </w:r>
      <w:r>
        <w:t xml:space="preserve"> окклюзия внутренней сонной артерии;</w:t>
      </w:r>
    </w:p>
    <w:p w14:paraId="02929B89" w14:textId="77777777" w:rsidR="00000000" w:rsidRDefault="00405FAE">
      <w:pPr>
        <w:pStyle w:val="ConsPlusNormal"/>
        <w:spacing w:before="200"/>
        <w:ind w:firstLine="540"/>
        <w:jc w:val="both"/>
      </w:pPr>
      <w:r>
        <w:t>тромботическая окклюзия сегмента M1 (средней мозговой артерии);</w:t>
      </w:r>
    </w:p>
    <w:p w14:paraId="4D657B09" w14:textId="77777777" w:rsidR="00000000" w:rsidRDefault="00405FAE">
      <w:pPr>
        <w:pStyle w:val="ConsPlusNormal"/>
        <w:spacing w:before="200"/>
        <w:ind w:firstLine="540"/>
        <w:jc w:val="both"/>
      </w:pPr>
      <w:r>
        <w:t>тромботическая окклюзия сегмента M2 (средней мозговой артерии) при наличии технической возможности;</w:t>
      </w:r>
    </w:p>
    <w:p w14:paraId="492DDED0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тромботическая окклюзия сегмента A1 (передней мозговой </w:t>
      </w:r>
      <w:r>
        <w:t>артерии) при наличии технической возможности.</w:t>
      </w:r>
    </w:p>
    <w:p w14:paraId="7FC9BA89" w14:textId="77777777" w:rsidR="00000000" w:rsidRDefault="00405FAE">
      <w:pPr>
        <w:pStyle w:val="ConsPlusNormal"/>
        <w:spacing w:before="200"/>
        <w:ind w:firstLine="540"/>
        <w:jc w:val="both"/>
      </w:pPr>
      <w:r>
        <w:t>Начало РЭХВ не должно быть отсрочено ожиданием эффекта от ТЛТ.</w:t>
      </w:r>
    </w:p>
    <w:p w14:paraId="790605F6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11. Бригадой врачей с участием врача-невролога, врача - рентгеноэндоваскулярного хирурга и врача - анестезиолога-реаниматолога принимается решение </w:t>
      </w:r>
      <w:r>
        <w:t>о проведении внутрисосудистой тромбэктомии.</w:t>
      </w:r>
    </w:p>
    <w:p w14:paraId="771FB9A8" w14:textId="77777777" w:rsidR="00000000" w:rsidRDefault="00405FAE">
      <w:pPr>
        <w:pStyle w:val="ConsPlusNormal"/>
        <w:spacing w:before="200"/>
        <w:ind w:firstLine="540"/>
        <w:jc w:val="both"/>
      </w:pPr>
      <w:r>
        <w:t>12. Врач - рентгеноэндоваскулярный хирург по результатам выполненного РЭХВ проводит оценку (ангиографическую оценку восстановления кровотока) по шкале TICI по форме согласно приложению 2, отражает результаты оцен</w:t>
      </w:r>
      <w:r>
        <w:t>ки по шкале TICI и время реперфузии в протоколе хирургического вмешательства.</w:t>
      </w:r>
    </w:p>
    <w:p w14:paraId="172255A6" w14:textId="77777777" w:rsidR="00000000" w:rsidRDefault="00405FAE">
      <w:pPr>
        <w:pStyle w:val="ConsPlusNormal"/>
        <w:spacing w:before="200"/>
        <w:ind w:firstLine="540"/>
        <w:jc w:val="both"/>
      </w:pPr>
      <w:r>
        <w:t>13. Врач-невролог через 24 - 36 часов после проведения ТЛТ и (или) РЭХВ обеспечивает выполнение повторной нейровизуализации (КТ или МРТ) с целью оценки динамики очага поражения г</w:t>
      </w:r>
      <w:r>
        <w:t>оловного мозга, выявления возможных геморрагических осложнений, контроля отека головного мозга.</w:t>
      </w:r>
    </w:p>
    <w:p w14:paraId="1B3C7F46" w14:textId="77777777" w:rsidR="00000000" w:rsidRDefault="00405FAE">
      <w:pPr>
        <w:pStyle w:val="ConsPlusNormal"/>
        <w:spacing w:before="200"/>
        <w:ind w:firstLine="540"/>
        <w:jc w:val="both"/>
      </w:pPr>
      <w:r>
        <w:lastRenderedPageBreak/>
        <w:t>При возникновении отека со смещением срединных структур, кровотечения в ткани головного мозга, субарахноидальное пространство организовывается экстренная консул</w:t>
      </w:r>
      <w:r>
        <w:t>ьтация врача-нейрохирурга.</w:t>
      </w:r>
    </w:p>
    <w:p w14:paraId="7AEB5C38" w14:textId="77777777" w:rsidR="00000000" w:rsidRDefault="00405FAE">
      <w:pPr>
        <w:pStyle w:val="ConsPlusNormal"/>
        <w:spacing w:before="200"/>
        <w:ind w:firstLine="540"/>
        <w:jc w:val="both"/>
      </w:pPr>
      <w:r>
        <w:t>14. Врачебный консилиум принимает решение о возможности хирургического лечения пациентов с ОНМК в соответствии с клиническим протоколом "Диагностика и лечение пациентов (взрослое население) с заболеваниями нейрохирургического про</w:t>
      </w:r>
      <w:r>
        <w:t>филя в стационарных условиях", утвержденным постановлением Министерства здравоохранения Республики Беларусь от 29 октября 2021 г. N 117.</w:t>
      </w:r>
    </w:p>
    <w:p w14:paraId="323DCE99" w14:textId="77777777" w:rsidR="00000000" w:rsidRDefault="00405FAE">
      <w:pPr>
        <w:pStyle w:val="ConsPlusNormal"/>
        <w:spacing w:before="200"/>
        <w:ind w:firstLine="540"/>
        <w:jc w:val="both"/>
      </w:pPr>
      <w:r>
        <w:t>Пациентам с субарахноидальным кровоизлиянием из разорвавшейся мешотчатой аневризмы для медицинской профилактики повторн</w:t>
      </w:r>
      <w:r>
        <w:t>ого кровотечения целесообразно выполнение хирургического вмешательства в течение 72 часов от начала заболевания, для чего пациент переводится в нейрохирургическое отделение.</w:t>
      </w:r>
    </w:p>
    <w:p w14:paraId="082B9FF9" w14:textId="77777777" w:rsidR="00000000" w:rsidRDefault="00405FAE">
      <w:pPr>
        <w:pStyle w:val="ConsPlusNormal"/>
        <w:spacing w:before="200"/>
        <w:ind w:firstLine="540"/>
        <w:jc w:val="both"/>
      </w:pPr>
      <w:r>
        <w:t>15. Реабилитация пациентов, перенесших ОНМК, осуществляется в соответствии с прика</w:t>
      </w:r>
      <w:r>
        <w:t>зом Министерства здравоохранения Республики Беларусь от 10 декабря 2014 г. N 1300 "О порядке оказания медицинской реабилитации в амбулаторных, стационарных условиях, в условиях дневного пребывания, а также вне организаций здравоохранения".</w:t>
      </w:r>
    </w:p>
    <w:p w14:paraId="0CA4C583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16. Медицинское </w:t>
      </w:r>
      <w:r>
        <w:t>наблюдение и лечение пациента с ОНМК в амбулаторных условиях осуществляются врачом-неврологом (врачом общей практики) в организации здравоохранения по месту жительства (месту пребывания) пациента.</w:t>
      </w:r>
    </w:p>
    <w:p w14:paraId="2839F2F4" w14:textId="77777777" w:rsidR="00000000" w:rsidRDefault="00405FAE">
      <w:pPr>
        <w:pStyle w:val="ConsPlusNormal"/>
        <w:spacing w:before="200"/>
        <w:ind w:firstLine="540"/>
        <w:jc w:val="both"/>
      </w:pPr>
      <w:r>
        <w:t>17. Оценка эффективности работы межрайонного центра осущест</w:t>
      </w:r>
      <w:r>
        <w:t>вляется по критериям эффективности оказания медицинской помощи пациентам с ОНМК согласно приложению 3.</w:t>
      </w:r>
    </w:p>
    <w:p w14:paraId="522A559A" w14:textId="77777777" w:rsidR="00000000" w:rsidRDefault="00405FAE">
      <w:pPr>
        <w:pStyle w:val="ConsPlusNormal"/>
        <w:jc w:val="both"/>
      </w:pPr>
    </w:p>
    <w:p w14:paraId="3D22E26B" w14:textId="77777777" w:rsidR="00000000" w:rsidRDefault="00405FAE">
      <w:pPr>
        <w:pStyle w:val="ConsPlusNormal"/>
        <w:jc w:val="both"/>
      </w:pPr>
    </w:p>
    <w:p w14:paraId="7E54E4CE" w14:textId="77777777" w:rsidR="00000000" w:rsidRDefault="00405FAE">
      <w:pPr>
        <w:pStyle w:val="ConsPlusNormal"/>
        <w:jc w:val="both"/>
      </w:pPr>
    </w:p>
    <w:p w14:paraId="19DAAD0C" w14:textId="77777777" w:rsidR="00000000" w:rsidRDefault="00405FAE">
      <w:pPr>
        <w:pStyle w:val="ConsPlusNormal"/>
        <w:jc w:val="both"/>
      </w:pPr>
    </w:p>
    <w:p w14:paraId="752D62B9" w14:textId="77777777" w:rsidR="00000000" w:rsidRDefault="00405FAE">
      <w:pPr>
        <w:pStyle w:val="ConsPlusNormal"/>
        <w:jc w:val="both"/>
      </w:pPr>
    </w:p>
    <w:p w14:paraId="69314A57" w14:textId="77777777" w:rsidR="00000000" w:rsidRDefault="00405FAE">
      <w:pPr>
        <w:pStyle w:val="ConsPlusNormal"/>
        <w:jc w:val="right"/>
        <w:outlineLvl w:val="1"/>
      </w:pPr>
      <w:r>
        <w:t>Приложение 1</w:t>
      </w:r>
    </w:p>
    <w:p w14:paraId="22FDE49E" w14:textId="77777777" w:rsidR="00000000" w:rsidRDefault="00405FAE">
      <w:pPr>
        <w:pStyle w:val="ConsPlusNormal"/>
        <w:jc w:val="right"/>
      </w:pPr>
      <w:r>
        <w:t>к Инструкции о порядке</w:t>
      </w:r>
    </w:p>
    <w:p w14:paraId="0138424A" w14:textId="77777777" w:rsidR="00000000" w:rsidRDefault="00405FAE">
      <w:pPr>
        <w:pStyle w:val="ConsPlusNormal"/>
        <w:jc w:val="right"/>
      </w:pPr>
      <w:r>
        <w:t>оказания медицинской</w:t>
      </w:r>
    </w:p>
    <w:p w14:paraId="6653CFE5" w14:textId="77777777" w:rsidR="00000000" w:rsidRDefault="00405FAE">
      <w:pPr>
        <w:pStyle w:val="ConsPlusNormal"/>
        <w:jc w:val="right"/>
      </w:pPr>
      <w:r>
        <w:t>помощи пациентам с</w:t>
      </w:r>
    </w:p>
    <w:p w14:paraId="385B7B2E" w14:textId="77777777" w:rsidR="00000000" w:rsidRDefault="00405FAE">
      <w:pPr>
        <w:pStyle w:val="ConsPlusNormal"/>
        <w:jc w:val="right"/>
      </w:pPr>
      <w:r>
        <w:t>острым нарушением</w:t>
      </w:r>
    </w:p>
    <w:p w14:paraId="289163BC" w14:textId="77777777" w:rsidR="00000000" w:rsidRDefault="00405FAE">
      <w:pPr>
        <w:pStyle w:val="ConsPlusNormal"/>
        <w:jc w:val="right"/>
      </w:pPr>
      <w:r>
        <w:t>мозгового кровообращения</w:t>
      </w:r>
    </w:p>
    <w:p w14:paraId="6CABFCD5" w14:textId="77777777" w:rsidR="00000000" w:rsidRDefault="00405FAE">
      <w:pPr>
        <w:pStyle w:val="ConsPlusNormal"/>
        <w:jc w:val="right"/>
      </w:pPr>
      <w:r>
        <w:t>в межрайонном центре</w:t>
      </w:r>
    </w:p>
    <w:p w14:paraId="1D0F79E8" w14:textId="77777777" w:rsidR="00000000" w:rsidRDefault="00405FAE">
      <w:pPr>
        <w:pStyle w:val="ConsPlusNormal"/>
        <w:jc w:val="both"/>
      </w:pPr>
    </w:p>
    <w:p w14:paraId="75C47CF0" w14:textId="77777777" w:rsidR="00000000" w:rsidRDefault="00405FAE">
      <w:pPr>
        <w:pStyle w:val="ConsPlusNormal"/>
      </w:pPr>
      <w:bookmarkStart w:id="8" w:name="Par272"/>
      <w:bookmarkEnd w:id="8"/>
      <w:r>
        <w:t>ШКАЛА</w:t>
      </w:r>
    </w:p>
    <w:p w14:paraId="0DFA0438" w14:textId="77777777" w:rsidR="00000000" w:rsidRDefault="00405FAE">
      <w:pPr>
        <w:pStyle w:val="ConsPlusNormal"/>
        <w:spacing w:before="200"/>
      </w:pPr>
      <w:r>
        <w:t>оценки ранних признаков</w:t>
      </w:r>
    </w:p>
    <w:p w14:paraId="4B8083BA" w14:textId="77777777" w:rsidR="00000000" w:rsidRDefault="00405FAE">
      <w:pPr>
        <w:pStyle w:val="ConsPlusNormal"/>
        <w:spacing w:before="200"/>
      </w:pPr>
      <w:r>
        <w:t>инфаркта головного мозга для</w:t>
      </w:r>
    </w:p>
    <w:p w14:paraId="1C4A56EE" w14:textId="77777777" w:rsidR="00000000" w:rsidRDefault="00405FAE">
      <w:pPr>
        <w:pStyle w:val="ConsPlusNormal"/>
        <w:spacing w:before="200"/>
      </w:pPr>
      <w:r>
        <w:t>врачей-рентгенологов (шкала ASPECTS)</w:t>
      </w:r>
    </w:p>
    <w:p w14:paraId="6AF5B290" w14:textId="77777777" w:rsidR="00000000" w:rsidRDefault="00405FAE">
      <w:pPr>
        <w:pStyle w:val="ConsPlusNormal"/>
        <w:jc w:val="both"/>
      </w:pPr>
    </w:p>
    <w:p w14:paraId="6ED030CD" w14:textId="77777777" w:rsidR="00000000" w:rsidRDefault="00405FAE">
      <w:pPr>
        <w:pStyle w:val="ConsPlusNormal"/>
        <w:ind w:firstLine="540"/>
        <w:jc w:val="both"/>
      </w:pPr>
      <w:r>
        <w:t>Шкала ASPECTS является 10-балльной топографической КТ-шкалой, применяемой у пациентов с ишемическим инсультом в бассейне сред</w:t>
      </w:r>
      <w:r>
        <w:t>ней мозговой артерии.</w:t>
      </w:r>
    </w:p>
    <w:p w14:paraId="43ED174B" w14:textId="77777777" w:rsidR="00000000" w:rsidRDefault="00405FAE">
      <w:pPr>
        <w:pStyle w:val="ConsPlusNormal"/>
        <w:spacing w:before="200"/>
        <w:ind w:firstLine="540"/>
        <w:jc w:val="both"/>
      </w:pPr>
      <w:r>
        <w:t>Территория кровоснабжения средней мозговой артерии на двух аксиальных срезах (один на уровне таламуса и базальных ганглиев, другой - ростральнее сразу над базальными ганглиями) делится на 10 участков.</w:t>
      </w:r>
    </w:p>
    <w:p w14:paraId="79A36498" w14:textId="77777777" w:rsidR="00000000" w:rsidRDefault="00405FAE">
      <w:pPr>
        <w:pStyle w:val="ConsPlusNormal"/>
        <w:spacing w:before="200"/>
        <w:ind w:firstLine="540"/>
        <w:jc w:val="both"/>
      </w:pPr>
      <w:r>
        <w:t>За каждый участок, имеющий призна</w:t>
      </w:r>
      <w:r>
        <w:t>ки ранних ишемических изменений (гиподенсивность), вычитается один балл. Значение "0 баллов" означает диффузное поражение всей территории кровоснабжения средней мозговой артерии. При отсутствии изменений значение шкалы составляет "10 баллов".</w:t>
      </w:r>
    </w:p>
    <w:p w14:paraId="0C571EF2" w14:textId="77777777" w:rsidR="00000000" w:rsidRDefault="00405FAE">
      <w:pPr>
        <w:pStyle w:val="ConsPlusNormal"/>
        <w:spacing w:before="200"/>
        <w:ind w:firstLine="540"/>
        <w:jc w:val="both"/>
      </w:pPr>
      <w:r>
        <w:t>Оцениваемые у</w:t>
      </w:r>
      <w:r>
        <w:t>частки:</w:t>
      </w:r>
    </w:p>
    <w:p w14:paraId="054AE9FB" w14:textId="77777777" w:rsidR="00000000" w:rsidRDefault="00405FAE">
      <w:pPr>
        <w:pStyle w:val="ConsPlusNormal"/>
        <w:spacing w:before="200"/>
        <w:ind w:firstLine="540"/>
        <w:jc w:val="both"/>
      </w:pPr>
      <w:r>
        <w:t>C - хвостатое ядро (Cauda);</w:t>
      </w:r>
    </w:p>
    <w:p w14:paraId="25FF0146" w14:textId="77777777" w:rsidR="00000000" w:rsidRDefault="00405FAE">
      <w:pPr>
        <w:pStyle w:val="ConsPlusNormal"/>
        <w:spacing w:before="200"/>
        <w:ind w:firstLine="540"/>
        <w:jc w:val="both"/>
      </w:pPr>
      <w:r>
        <w:t>L - чечевицеобразное ядро (Lentiform nucleus);</w:t>
      </w:r>
    </w:p>
    <w:p w14:paraId="42E0B205" w14:textId="77777777" w:rsidR="00000000" w:rsidRDefault="00405FAE">
      <w:pPr>
        <w:pStyle w:val="ConsPlusNormal"/>
        <w:spacing w:before="200"/>
        <w:ind w:firstLine="540"/>
        <w:jc w:val="both"/>
      </w:pPr>
      <w:r>
        <w:lastRenderedPageBreak/>
        <w:t>IC - внутренняя капсула (Internal capsule);</w:t>
      </w:r>
    </w:p>
    <w:p w14:paraId="411A509E" w14:textId="77777777" w:rsidR="00000000" w:rsidRDefault="00405FAE">
      <w:pPr>
        <w:pStyle w:val="ConsPlusNormal"/>
        <w:spacing w:before="200"/>
        <w:ind w:firstLine="540"/>
        <w:jc w:val="both"/>
      </w:pPr>
      <w:r>
        <w:t>I - островковая долька (Insular cortex);</w:t>
      </w:r>
    </w:p>
    <w:p w14:paraId="29939F55" w14:textId="77777777" w:rsidR="00000000" w:rsidRDefault="00405FAE">
      <w:pPr>
        <w:pStyle w:val="ConsPlusNormal"/>
        <w:spacing w:before="200"/>
        <w:ind w:firstLine="540"/>
        <w:jc w:val="both"/>
      </w:pPr>
      <w:r>
        <w:t>M1 - "передняя кора СМА" или "оперкулярная зона";</w:t>
      </w:r>
    </w:p>
    <w:p w14:paraId="1F5442DE" w14:textId="77777777" w:rsidR="00000000" w:rsidRDefault="00405FAE">
      <w:pPr>
        <w:pStyle w:val="ConsPlusNormal"/>
        <w:spacing w:before="200"/>
        <w:ind w:firstLine="540"/>
        <w:jc w:val="both"/>
      </w:pPr>
      <w:r>
        <w:t>M2 - "средняя кора СМА" или "передне-височная зона";</w:t>
      </w:r>
    </w:p>
    <w:p w14:paraId="7E9600F5" w14:textId="77777777" w:rsidR="00000000" w:rsidRDefault="00405FAE">
      <w:pPr>
        <w:pStyle w:val="ConsPlusNormal"/>
        <w:spacing w:before="200"/>
        <w:ind w:firstLine="540"/>
        <w:jc w:val="both"/>
      </w:pPr>
      <w:r>
        <w:t>M3 - "задняя кора СМА";</w:t>
      </w:r>
    </w:p>
    <w:p w14:paraId="5BAFADB0" w14:textId="77777777" w:rsidR="00000000" w:rsidRDefault="00405FAE">
      <w:pPr>
        <w:pStyle w:val="ConsPlusNormal"/>
        <w:spacing w:before="200"/>
        <w:ind w:firstLine="540"/>
        <w:jc w:val="both"/>
      </w:pPr>
      <w:r>
        <w:t>M4 - "передняя верхняя территория СМА";</w:t>
      </w:r>
    </w:p>
    <w:p w14:paraId="7DA72E59" w14:textId="77777777" w:rsidR="00000000" w:rsidRDefault="00405FAE">
      <w:pPr>
        <w:pStyle w:val="ConsPlusNormal"/>
        <w:spacing w:before="200"/>
        <w:ind w:firstLine="540"/>
        <w:jc w:val="both"/>
      </w:pPr>
      <w:r>
        <w:t>M5 - "средняя верхняя территория СМА";</w:t>
      </w:r>
    </w:p>
    <w:p w14:paraId="11A9FE60" w14:textId="77777777" w:rsidR="00000000" w:rsidRDefault="00405FAE">
      <w:pPr>
        <w:pStyle w:val="ConsPlusNormal"/>
        <w:spacing w:before="200"/>
        <w:ind w:firstLine="540"/>
        <w:jc w:val="both"/>
      </w:pPr>
      <w:r>
        <w:t>M6 - "задняя верхняя территория СМА".</w:t>
      </w:r>
    </w:p>
    <w:p w14:paraId="41906E09" w14:textId="77777777" w:rsidR="00000000" w:rsidRDefault="00405FAE">
      <w:pPr>
        <w:pStyle w:val="ConsPlusNormal"/>
        <w:spacing w:before="200"/>
        <w:ind w:firstLine="540"/>
        <w:jc w:val="both"/>
      </w:pPr>
      <w:r>
        <w:t>Участки M1 - M3 находятся на уровне базальных ганглиев, участк</w:t>
      </w:r>
      <w:r>
        <w:t>и M4 - M6 - на уровне желудочков непосредственно над базальными ганглиями.</w:t>
      </w:r>
    </w:p>
    <w:p w14:paraId="5CDA1BD8" w14:textId="77777777" w:rsidR="00000000" w:rsidRDefault="00405FAE">
      <w:pPr>
        <w:pStyle w:val="ConsPlusNormal"/>
        <w:jc w:val="both"/>
      </w:pPr>
    </w:p>
    <w:p w14:paraId="366B1FBC" w14:textId="77777777" w:rsidR="00000000" w:rsidRDefault="00405FAE">
      <w:pPr>
        <w:pStyle w:val="ConsPlusNormal"/>
        <w:jc w:val="both"/>
      </w:pPr>
    </w:p>
    <w:p w14:paraId="46AD4936" w14:textId="77777777" w:rsidR="00000000" w:rsidRDefault="00405FAE">
      <w:pPr>
        <w:pStyle w:val="ConsPlusNormal"/>
        <w:jc w:val="both"/>
      </w:pPr>
    </w:p>
    <w:p w14:paraId="00DE7543" w14:textId="77777777" w:rsidR="00000000" w:rsidRDefault="00405FAE">
      <w:pPr>
        <w:pStyle w:val="ConsPlusNormal"/>
        <w:jc w:val="both"/>
      </w:pPr>
    </w:p>
    <w:p w14:paraId="71453A3E" w14:textId="77777777" w:rsidR="00000000" w:rsidRDefault="00405FAE">
      <w:pPr>
        <w:pStyle w:val="ConsPlusNormal"/>
        <w:jc w:val="both"/>
      </w:pPr>
    </w:p>
    <w:p w14:paraId="07D8517E" w14:textId="77777777" w:rsidR="00000000" w:rsidRDefault="00405FAE">
      <w:pPr>
        <w:pStyle w:val="ConsPlusNormal"/>
        <w:jc w:val="right"/>
        <w:outlineLvl w:val="1"/>
      </w:pPr>
      <w:r>
        <w:t>Приложение 2</w:t>
      </w:r>
    </w:p>
    <w:p w14:paraId="10BAFC42" w14:textId="77777777" w:rsidR="00000000" w:rsidRDefault="00405FAE">
      <w:pPr>
        <w:pStyle w:val="ConsPlusNormal"/>
        <w:jc w:val="right"/>
      </w:pPr>
      <w:r>
        <w:t>к Инструкции о порядке</w:t>
      </w:r>
    </w:p>
    <w:p w14:paraId="706C2D44" w14:textId="77777777" w:rsidR="00000000" w:rsidRDefault="00405FAE">
      <w:pPr>
        <w:pStyle w:val="ConsPlusNormal"/>
        <w:jc w:val="right"/>
      </w:pPr>
      <w:r>
        <w:t>оказания медицинской</w:t>
      </w:r>
    </w:p>
    <w:p w14:paraId="011179E0" w14:textId="77777777" w:rsidR="00000000" w:rsidRDefault="00405FAE">
      <w:pPr>
        <w:pStyle w:val="ConsPlusNormal"/>
        <w:jc w:val="right"/>
      </w:pPr>
      <w:r>
        <w:t>помощи пациентам с</w:t>
      </w:r>
    </w:p>
    <w:p w14:paraId="167D36B5" w14:textId="77777777" w:rsidR="00000000" w:rsidRDefault="00405FAE">
      <w:pPr>
        <w:pStyle w:val="ConsPlusNormal"/>
        <w:jc w:val="right"/>
      </w:pPr>
      <w:r>
        <w:t>острым нарушением</w:t>
      </w:r>
    </w:p>
    <w:p w14:paraId="5CA8774C" w14:textId="77777777" w:rsidR="00000000" w:rsidRDefault="00405FAE">
      <w:pPr>
        <w:pStyle w:val="ConsPlusNormal"/>
        <w:jc w:val="right"/>
      </w:pPr>
      <w:r>
        <w:t>мозгового кровообращения</w:t>
      </w:r>
    </w:p>
    <w:p w14:paraId="45F59722" w14:textId="77777777" w:rsidR="00000000" w:rsidRDefault="00405FAE">
      <w:pPr>
        <w:pStyle w:val="ConsPlusNormal"/>
        <w:jc w:val="right"/>
      </w:pPr>
      <w:r>
        <w:t>в межрайонном центре</w:t>
      </w:r>
    </w:p>
    <w:p w14:paraId="79B3C086" w14:textId="77777777" w:rsidR="00000000" w:rsidRDefault="00405FAE">
      <w:pPr>
        <w:pStyle w:val="ConsPlusNormal"/>
        <w:jc w:val="both"/>
      </w:pPr>
    </w:p>
    <w:p w14:paraId="7FEDD853" w14:textId="77777777" w:rsidR="00000000" w:rsidRDefault="00405FAE">
      <w:pPr>
        <w:pStyle w:val="ConsPlusNormal"/>
        <w:jc w:val="both"/>
      </w:pPr>
      <w:bookmarkStart w:id="9" w:name="Par305"/>
      <w:bookmarkEnd w:id="9"/>
      <w:r>
        <w:t>ШКАЛА TICI</w:t>
      </w:r>
    </w:p>
    <w:p w14:paraId="6290EDE6" w14:textId="77777777" w:rsidR="00000000" w:rsidRDefault="00405FAE">
      <w:pPr>
        <w:pStyle w:val="ConsPlusNormal"/>
        <w:jc w:val="both"/>
      </w:pPr>
    </w:p>
    <w:p w14:paraId="6D03733C" w14:textId="77777777" w:rsidR="00000000" w:rsidRDefault="00405FAE">
      <w:pPr>
        <w:pStyle w:val="ConsPlusNormal"/>
        <w:ind w:firstLine="540"/>
        <w:jc w:val="both"/>
      </w:pPr>
      <w:r>
        <w:t>Используетс</w:t>
      </w:r>
      <w:r>
        <w:t>я для ангиографической оценки состояния церебрального кровотока после проведения РЭХВ:</w:t>
      </w:r>
    </w:p>
    <w:p w14:paraId="3868A71B" w14:textId="77777777" w:rsidR="00000000" w:rsidRDefault="00405FAE">
      <w:pPr>
        <w:pStyle w:val="ConsPlusNormal"/>
        <w:spacing w:before="200"/>
        <w:ind w:firstLine="540"/>
        <w:jc w:val="both"/>
      </w:pPr>
      <w:r>
        <w:t>0 - отсутствие перфузии;</w:t>
      </w:r>
    </w:p>
    <w:p w14:paraId="21DF7646" w14:textId="77777777" w:rsidR="00000000" w:rsidRDefault="00405FAE">
      <w:pPr>
        <w:pStyle w:val="ConsPlusNormal"/>
        <w:spacing w:before="200"/>
        <w:ind w:firstLine="540"/>
        <w:jc w:val="both"/>
      </w:pPr>
      <w:r>
        <w:t>1 - антеградная реперфузия дистальнее места первоначальной окклюзии с ограниченным заполнением дистальных ветвей с небольшой или медленной диста</w:t>
      </w:r>
      <w:r>
        <w:t>льной реперфузией (полная или почти полная окклюзия);</w:t>
      </w:r>
    </w:p>
    <w:p w14:paraId="14C92F81" w14:textId="77777777" w:rsidR="00000000" w:rsidRDefault="00405FAE">
      <w:pPr>
        <w:pStyle w:val="ConsPlusNormal"/>
        <w:spacing w:before="200"/>
        <w:ind w:firstLine="540"/>
        <w:jc w:val="both"/>
      </w:pPr>
      <w:r>
        <w:t>2а - антеградная реперфузия менее чем половины ранее ишемизированной территории окклюзированной целевой артерии (одной из крупной ветви СМА и ее территории);</w:t>
      </w:r>
    </w:p>
    <w:p w14:paraId="053013B3" w14:textId="77777777" w:rsidR="00000000" w:rsidRDefault="00405FAE">
      <w:pPr>
        <w:pStyle w:val="ConsPlusNormal"/>
        <w:spacing w:before="200"/>
        <w:ind w:firstLine="540"/>
        <w:jc w:val="both"/>
      </w:pPr>
      <w:r>
        <w:t>2в - антеградная реперфузия более чем половины ранее ишемизированной территории окклюзированной целевой артерии (двух крупных ветвей СМА и ее территории);</w:t>
      </w:r>
    </w:p>
    <w:p w14:paraId="20707779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3 - полная антеградная реперфузия ранее ишемизированной территории окклюзированной целевой артерии с </w:t>
      </w:r>
      <w:r>
        <w:t>отсутствием визуализированной окклюзии во всех дистальных ветвях.</w:t>
      </w:r>
    </w:p>
    <w:p w14:paraId="15A40E56" w14:textId="77777777" w:rsidR="00000000" w:rsidRDefault="00405FAE">
      <w:pPr>
        <w:pStyle w:val="ConsPlusNormal"/>
        <w:jc w:val="both"/>
      </w:pPr>
    </w:p>
    <w:p w14:paraId="51C6C79E" w14:textId="77777777" w:rsidR="00000000" w:rsidRDefault="00405FAE">
      <w:pPr>
        <w:pStyle w:val="ConsPlusNormal"/>
        <w:jc w:val="both"/>
      </w:pPr>
    </w:p>
    <w:p w14:paraId="51E4D216" w14:textId="77777777" w:rsidR="00000000" w:rsidRDefault="00405FAE">
      <w:pPr>
        <w:pStyle w:val="ConsPlusNormal"/>
        <w:jc w:val="both"/>
      </w:pPr>
    </w:p>
    <w:p w14:paraId="525C8017" w14:textId="77777777" w:rsidR="00000000" w:rsidRDefault="00405FAE">
      <w:pPr>
        <w:pStyle w:val="ConsPlusNormal"/>
        <w:jc w:val="both"/>
      </w:pPr>
    </w:p>
    <w:p w14:paraId="41AAD3FD" w14:textId="77777777" w:rsidR="00000000" w:rsidRDefault="00405FAE">
      <w:pPr>
        <w:pStyle w:val="ConsPlusNormal"/>
        <w:jc w:val="both"/>
      </w:pPr>
    </w:p>
    <w:p w14:paraId="51935E63" w14:textId="77777777" w:rsidR="00000000" w:rsidRDefault="00405FAE">
      <w:pPr>
        <w:pStyle w:val="ConsPlusNormal"/>
        <w:jc w:val="right"/>
        <w:outlineLvl w:val="1"/>
      </w:pPr>
      <w:r>
        <w:t>Приложение 3</w:t>
      </w:r>
    </w:p>
    <w:p w14:paraId="1D98CEC3" w14:textId="77777777" w:rsidR="00000000" w:rsidRDefault="00405FAE">
      <w:pPr>
        <w:pStyle w:val="ConsPlusNormal"/>
        <w:jc w:val="right"/>
      </w:pPr>
      <w:r>
        <w:t>к Инструкции о порядке</w:t>
      </w:r>
    </w:p>
    <w:p w14:paraId="0A40DDAB" w14:textId="77777777" w:rsidR="00000000" w:rsidRDefault="00405FAE">
      <w:pPr>
        <w:pStyle w:val="ConsPlusNormal"/>
        <w:jc w:val="right"/>
      </w:pPr>
      <w:r>
        <w:t>оказания медицинской</w:t>
      </w:r>
    </w:p>
    <w:p w14:paraId="75849FE4" w14:textId="77777777" w:rsidR="00000000" w:rsidRDefault="00405FAE">
      <w:pPr>
        <w:pStyle w:val="ConsPlusNormal"/>
        <w:jc w:val="right"/>
      </w:pPr>
      <w:r>
        <w:t>помощи пациентам с</w:t>
      </w:r>
    </w:p>
    <w:p w14:paraId="7BF6E58F" w14:textId="77777777" w:rsidR="00000000" w:rsidRDefault="00405FAE">
      <w:pPr>
        <w:pStyle w:val="ConsPlusNormal"/>
        <w:jc w:val="right"/>
      </w:pPr>
      <w:r>
        <w:t>острым нарушением</w:t>
      </w:r>
    </w:p>
    <w:p w14:paraId="49D1A957" w14:textId="77777777" w:rsidR="00000000" w:rsidRDefault="00405FAE">
      <w:pPr>
        <w:pStyle w:val="ConsPlusNormal"/>
        <w:jc w:val="right"/>
      </w:pPr>
      <w:r>
        <w:t>мозгового кровообращения</w:t>
      </w:r>
    </w:p>
    <w:p w14:paraId="0B5A5B54" w14:textId="77777777" w:rsidR="00000000" w:rsidRDefault="00405FAE">
      <w:pPr>
        <w:pStyle w:val="ConsPlusNormal"/>
        <w:jc w:val="right"/>
      </w:pPr>
      <w:r>
        <w:t>в межрайонном центре</w:t>
      </w:r>
    </w:p>
    <w:p w14:paraId="246E6E7F" w14:textId="77777777" w:rsidR="00000000" w:rsidRDefault="00405FAE">
      <w:pPr>
        <w:pStyle w:val="ConsPlusNormal"/>
        <w:jc w:val="both"/>
      </w:pPr>
    </w:p>
    <w:p w14:paraId="3B91D4D4" w14:textId="77777777" w:rsidR="00000000" w:rsidRDefault="00405FAE">
      <w:pPr>
        <w:pStyle w:val="ConsPlusTitle"/>
        <w:jc w:val="center"/>
      </w:pPr>
      <w:bookmarkStart w:id="10" w:name="Par326"/>
      <w:bookmarkEnd w:id="10"/>
      <w:r>
        <w:t xml:space="preserve">КРИТЕРИИ ЭФФЕКТИВНОСТИ ОКАЗАНИЯ </w:t>
      </w:r>
      <w:r>
        <w:t>МЕДИЦИНСКОЙ ПОМОЩИ ПАЦИЕНТАМ С ОНМК</w:t>
      </w:r>
    </w:p>
    <w:p w14:paraId="649EA8EC" w14:textId="77777777" w:rsidR="00000000" w:rsidRDefault="00405FA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214A9AF8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35C352C2" w14:textId="77777777" w:rsidR="00000000" w:rsidRDefault="00405FA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Минздрава от 02.04.2024 N 464)</w:t>
            </w:r>
          </w:p>
        </w:tc>
      </w:tr>
    </w:tbl>
    <w:p w14:paraId="4627E24D" w14:textId="77777777" w:rsidR="00000000" w:rsidRDefault="00405FAE">
      <w:pPr>
        <w:pStyle w:val="ConsPlusNormal"/>
        <w:jc w:val="both"/>
      </w:pPr>
    </w:p>
    <w:p w14:paraId="03218562" w14:textId="77777777" w:rsidR="00000000" w:rsidRDefault="00405FAE">
      <w:pPr>
        <w:pStyle w:val="ConsPlusNormal"/>
        <w:ind w:firstLine="540"/>
        <w:jc w:val="both"/>
      </w:pPr>
      <w:r>
        <w:t>1. Амбулаторный этап:</w:t>
      </w:r>
    </w:p>
    <w:p w14:paraId="3806B92C" w14:textId="77777777" w:rsidR="00000000" w:rsidRDefault="00405FAE">
      <w:pPr>
        <w:pStyle w:val="ConsPlusNormal"/>
        <w:spacing w:before="200"/>
        <w:ind w:firstLine="540"/>
        <w:jc w:val="both"/>
      </w:pPr>
      <w:r>
        <w:t>показатель качества первичной профилактики инфаркта головного мозга в амбулаторно-поликлинических организациях (индикатор качества профилактической работы):</w:t>
      </w:r>
    </w:p>
    <w:p w14:paraId="74FAAC25" w14:textId="77777777" w:rsidR="00000000" w:rsidRDefault="00405FAE">
      <w:pPr>
        <w:pStyle w:val="ConsPlusNormal"/>
        <w:spacing w:before="200"/>
        <w:ind w:firstLine="540"/>
        <w:jc w:val="both"/>
      </w:pPr>
      <w:r>
        <w:t>число зарегистрированных в течение года случаев инфаркта головного мозга (I63) у пациентов, состоящ</w:t>
      </w:r>
      <w:r>
        <w:t>их под медицинским наблюдением х 1000, к числу пациентов, состоящих под медицинским наблюдением по причине БСК (I00 - I99) на конец года;</w:t>
      </w:r>
    </w:p>
    <w:p w14:paraId="4FAAEC25" w14:textId="1B15B973" w:rsidR="00000000" w:rsidRDefault="00405FAE">
      <w:pPr>
        <w:pStyle w:val="ConsPlusNormal"/>
        <w:spacing w:before="200"/>
        <w:ind w:firstLine="540"/>
        <w:jc w:val="both"/>
      </w:pPr>
      <w:r>
        <w:t>целевой уровень - до 5</w:t>
      </w:r>
      <w:r>
        <w:rPr>
          <w:noProof/>
          <w:position w:val="2"/>
        </w:rPr>
        <w:drawing>
          <wp:inline distT="0" distB="0" distL="0" distR="0" wp14:anchorId="475D15BA" wp14:editId="1F5BAD58">
            <wp:extent cx="142875" cy="10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6B322613" w14:textId="77777777" w:rsidR="00000000" w:rsidRDefault="00405FAE">
      <w:pPr>
        <w:pStyle w:val="ConsPlusNormal"/>
        <w:spacing w:before="200"/>
        <w:ind w:firstLine="540"/>
        <w:jc w:val="both"/>
      </w:pPr>
      <w:r>
        <w:t>показатель своевременного обращения пациентов за медицинско</w:t>
      </w:r>
      <w:r>
        <w:t>й помощью в период до 3 часов от начала заболевания (индикатор качества профилактической работы):</w:t>
      </w:r>
    </w:p>
    <w:p w14:paraId="7DEB908C" w14:textId="77777777" w:rsidR="00000000" w:rsidRDefault="00405FAE">
      <w:pPr>
        <w:pStyle w:val="ConsPlusNormal"/>
        <w:spacing w:before="200"/>
        <w:ind w:firstLine="540"/>
        <w:jc w:val="both"/>
      </w:pPr>
      <w:r>
        <w:t xml:space="preserve">число пациентов с ОНМК, к которым была вызвана бригада СМП в сроки до 3 часов от начала заболевания, к числу всех пациентов с ОНМК, доставленных в больничную </w:t>
      </w:r>
      <w:r>
        <w:t>организацию бригадами СМП;</w:t>
      </w:r>
    </w:p>
    <w:p w14:paraId="51154F8F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- 30% и более.</w:t>
      </w:r>
    </w:p>
    <w:p w14:paraId="3999EECD" w14:textId="77777777" w:rsidR="00000000" w:rsidRDefault="00405FAE">
      <w:pPr>
        <w:pStyle w:val="ConsPlusNormal"/>
        <w:jc w:val="both"/>
      </w:pPr>
      <w:r>
        <w:t>(п. 1 в ред. приказа Минздрава от 02.04.2024 N 464)</w:t>
      </w:r>
    </w:p>
    <w:p w14:paraId="616AFDBF" w14:textId="77777777" w:rsidR="00000000" w:rsidRDefault="00405FAE">
      <w:pPr>
        <w:pStyle w:val="ConsPlusNormal"/>
        <w:spacing w:before="200"/>
        <w:ind w:firstLine="540"/>
        <w:jc w:val="both"/>
      </w:pPr>
      <w:r>
        <w:t>2. Этап СМП:</w:t>
      </w:r>
    </w:p>
    <w:p w14:paraId="609568F8" w14:textId="77777777" w:rsidR="00000000" w:rsidRDefault="00405FAE">
      <w:pPr>
        <w:pStyle w:val="ConsPlusNormal"/>
        <w:spacing w:before="200"/>
        <w:ind w:firstLine="540"/>
        <w:jc w:val="both"/>
      </w:pPr>
      <w:r>
        <w:t>2.1. время от вызова бригады СМП до контакта с пациентом (30 минут в городе и 45 минут в иных населенных пунктах):</w:t>
      </w:r>
    </w:p>
    <w:p w14:paraId="5EE8D11A" w14:textId="77777777" w:rsidR="00000000" w:rsidRDefault="00405FAE">
      <w:pPr>
        <w:pStyle w:val="ConsPlusNormal"/>
        <w:spacing w:before="200"/>
        <w:ind w:firstLine="540"/>
        <w:jc w:val="both"/>
      </w:pPr>
      <w:r>
        <w:t>число вызовов бриг</w:t>
      </w:r>
      <w:r>
        <w:t>ад СМП к пациентам, прибытие к которым осуществлено не позднее 30 минут в городе и 45 минут в иных населенных пунктах после регистрации срочного вызова с поводом "внезапные нарушения двигательной активности", к числу вызовов бригад СМП к пациентам по повод</w:t>
      </w:r>
      <w:r>
        <w:t>у "внезапные нарушения двигательной активности";</w:t>
      </w:r>
    </w:p>
    <w:p w14:paraId="24AAB893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- 100%;</w:t>
      </w:r>
    </w:p>
    <w:p w14:paraId="4477A8FB" w14:textId="77777777" w:rsidR="00000000" w:rsidRDefault="00405FAE">
      <w:pPr>
        <w:pStyle w:val="ConsPlusNormal"/>
        <w:spacing w:before="200"/>
        <w:ind w:firstLine="540"/>
        <w:jc w:val="both"/>
      </w:pPr>
      <w:r>
        <w:t>2.2. время от первого контакта бригады СМП с пациентом до доставки пациента в межрайонный центр (60 минут в городе и 75 минут в иных населенных пунктах):</w:t>
      </w:r>
    </w:p>
    <w:p w14:paraId="3D9A8D42" w14:textId="77777777" w:rsidR="00000000" w:rsidRDefault="00405FAE">
      <w:pPr>
        <w:pStyle w:val="ConsPlusNormal"/>
        <w:spacing w:before="200"/>
        <w:ind w:firstLine="540"/>
        <w:jc w:val="both"/>
      </w:pPr>
      <w:r>
        <w:t>число пациентов с ОНМК, доста</w:t>
      </w:r>
      <w:r>
        <w:t>вленных в межрайонный центр в течение 60 минут в городе и 75 минут в иных населенных пунктах после первого контакта с бригадой СМП, к числу всех пациентов с ОНМК, доставленных в межрайонный центр;</w:t>
      </w:r>
    </w:p>
    <w:p w14:paraId="6D2A0247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- 100%.</w:t>
      </w:r>
    </w:p>
    <w:p w14:paraId="7FA64DCF" w14:textId="77777777" w:rsidR="00000000" w:rsidRDefault="00405FAE">
      <w:pPr>
        <w:pStyle w:val="ConsPlusNormal"/>
        <w:spacing w:before="200"/>
        <w:ind w:firstLine="540"/>
        <w:jc w:val="both"/>
      </w:pPr>
      <w:r>
        <w:t>3. Стационарный этап:</w:t>
      </w:r>
    </w:p>
    <w:p w14:paraId="2A03ED52" w14:textId="77777777" w:rsidR="00000000" w:rsidRDefault="00405FAE">
      <w:pPr>
        <w:pStyle w:val="ConsPlusNormal"/>
        <w:spacing w:before="200"/>
        <w:ind w:firstLine="540"/>
        <w:jc w:val="both"/>
      </w:pPr>
      <w:r>
        <w:t>3.1. охват не</w:t>
      </w:r>
      <w:r>
        <w:t>йровизуализацией (проведение КТ или МРТ головного мозга в течение первого часа от момента поступления пациента в межрайонный центр):</w:t>
      </w:r>
    </w:p>
    <w:p w14:paraId="73B424A6" w14:textId="77777777" w:rsidR="00000000" w:rsidRDefault="00405FAE">
      <w:pPr>
        <w:pStyle w:val="ConsPlusNormal"/>
        <w:spacing w:before="200"/>
        <w:ind w:firstLine="540"/>
        <w:jc w:val="both"/>
      </w:pPr>
      <w:r>
        <w:t>число пациентов с ОНМК, которым проведено КТ или МРТ головного мозга в течение первого часа от момента поступления в межрай</w:t>
      </w:r>
      <w:r>
        <w:t>онный центр, к числу всех пациентов с ОНМК, поступивших в межрайонный центр;</w:t>
      </w:r>
    </w:p>
    <w:p w14:paraId="60EEE78B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- 100%;</w:t>
      </w:r>
    </w:p>
    <w:p w14:paraId="4835A76C" w14:textId="77777777" w:rsidR="00000000" w:rsidRDefault="00405FAE">
      <w:pPr>
        <w:pStyle w:val="ConsPlusNormal"/>
        <w:spacing w:before="200"/>
        <w:ind w:firstLine="540"/>
        <w:jc w:val="both"/>
      </w:pPr>
      <w:r>
        <w:t>3.2. проведение ТЛТ или РЭХВ при инфаркте головного мозга:</w:t>
      </w:r>
    </w:p>
    <w:p w14:paraId="4D64B19A" w14:textId="77777777" w:rsidR="00000000" w:rsidRDefault="00405FAE">
      <w:pPr>
        <w:pStyle w:val="ConsPlusNormal"/>
        <w:spacing w:before="200"/>
        <w:ind w:firstLine="540"/>
        <w:jc w:val="both"/>
      </w:pPr>
      <w:r>
        <w:t>число пациентов с инфарктом головного мозга, которым проведены ТЛТ или РЭХВ, к числу пациентов с инфарктом головного мозга, поступивших в больничную организацию;</w:t>
      </w:r>
    </w:p>
    <w:p w14:paraId="2AFE32D8" w14:textId="77777777" w:rsidR="00000000" w:rsidRDefault="00405FAE">
      <w:pPr>
        <w:pStyle w:val="ConsPlusNormal"/>
        <w:spacing w:before="200"/>
        <w:ind w:firstLine="540"/>
        <w:jc w:val="both"/>
      </w:pPr>
      <w:r>
        <w:lastRenderedPageBreak/>
        <w:t>целевой уровень - 7%;</w:t>
      </w:r>
    </w:p>
    <w:p w14:paraId="74F15066" w14:textId="77777777" w:rsidR="00000000" w:rsidRDefault="00405FAE">
      <w:pPr>
        <w:pStyle w:val="ConsPlusNormal"/>
        <w:spacing w:before="200"/>
        <w:ind w:firstLine="540"/>
        <w:jc w:val="both"/>
      </w:pPr>
      <w:r>
        <w:t>3.3. летальность от ОНМК (всего и в том числе трудоспособного возраста):</w:t>
      </w:r>
    </w:p>
    <w:p w14:paraId="68A64147" w14:textId="77777777" w:rsidR="00000000" w:rsidRDefault="00405FAE">
      <w:pPr>
        <w:pStyle w:val="ConsPlusNormal"/>
        <w:spacing w:before="200"/>
        <w:ind w:firstLine="540"/>
        <w:jc w:val="both"/>
      </w:pPr>
      <w:r>
        <w:t>число умерших пациентов от ОНМК к числу пролеченных пациентов с ОНМК (выписанные и умершие);</w:t>
      </w:r>
    </w:p>
    <w:p w14:paraId="4D23341B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- 18%;</w:t>
      </w:r>
    </w:p>
    <w:p w14:paraId="5A92DE8D" w14:textId="77777777" w:rsidR="00000000" w:rsidRDefault="00405FAE">
      <w:pPr>
        <w:pStyle w:val="ConsPlusNormal"/>
        <w:spacing w:before="200"/>
        <w:ind w:firstLine="540"/>
        <w:jc w:val="both"/>
      </w:pPr>
      <w:r>
        <w:t>число пациентов трудоспособного возраста, умерших от ОНМК, к числу пролеченных пациентов трудоспособного возраста с ОНМК (выписанные и умер</w:t>
      </w:r>
      <w:r>
        <w:t>шие);</w:t>
      </w:r>
    </w:p>
    <w:p w14:paraId="4F70B2E5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- 18%;</w:t>
      </w:r>
    </w:p>
    <w:p w14:paraId="318BD5B5" w14:textId="77777777" w:rsidR="00000000" w:rsidRDefault="00405FAE">
      <w:pPr>
        <w:pStyle w:val="ConsPlusNormal"/>
        <w:spacing w:before="200"/>
        <w:ind w:firstLine="540"/>
        <w:jc w:val="both"/>
      </w:pPr>
      <w:r>
        <w:t>3.4. показатель качества вторичной профилактики инфаркта головного мозга в организациях здравоохранения:</w:t>
      </w:r>
    </w:p>
    <w:p w14:paraId="5C92446A" w14:textId="77777777" w:rsidR="00000000" w:rsidRDefault="00405FAE">
      <w:pPr>
        <w:pStyle w:val="ConsPlusNormal"/>
        <w:spacing w:before="200"/>
        <w:ind w:firstLine="540"/>
        <w:jc w:val="both"/>
      </w:pPr>
      <w:r>
        <w:t>число пациентов с инфарктом головного мозга (I63) на фоне фибрилляции предсердий (I48), получающих при выписке антикоагуля</w:t>
      </w:r>
      <w:r>
        <w:t>нтную терапию (за исключением пациентов, имеющих противопоказания) х 100, к числу выписанных пациентов с инфарктом головного мозга (I63) на фоне фибрилляции предсердий (I48) (за исключением пациентов, имеющих противопоказания);</w:t>
      </w:r>
    </w:p>
    <w:p w14:paraId="7257712B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- 100%;</w:t>
      </w:r>
    </w:p>
    <w:p w14:paraId="1F9D7695" w14:textId="77777777" w:rsidR="00000000" w:rsidRDefault="00405FAE">
      <w:pPr>
        <w:pStyle w:val="ConsPlusNormal"/>
        <w:jc w:val="both"/>
      </w:pPr>
      <w:r>
        <w:t>(пп.</w:t>
      </w:r>
      <w:r>
        <w:t xml:space="preserve"> 3.4 в ред. приказа Минздрава от 02.04.2024 N 464)</w:t>
      </w:r>
    </w:p>
    <w:p w14:paraId="76DB049F" w14:textId="77777777" w:rsidR="00000000" w:rsidRDefault="00405FAE">
      <w:pPr>
        <w:pStyle w:val="ConsPlusNormal"/>
        <w:spacing w:before="200"/>
        <w:ind w:firstLine="540"/>
        <w:jc w:val="both"/>
      </w:pPr>
      <w:r>
        <w:t>3.5. удельный вес пациентов с ОНМК, направленных на этап ранней медицинской реабилитации в стационарных условиях:</w:t>
      </w:r>
    </w:p>
    <w:p w14:paraId="4B4D4770" w14:textId="77777777" w:rsidR="00000000" w:rsidRDefault="00405FAE">
      <w:pPr>
        <w:pStyle w:val="ConsPlusNormal"/>
        <w:spacing w:before="200"/>
        <w:ind w:firstLine="540"/>
        <w:jc w:val="both"/>
      </w:pPr>
      <w:r>
        <w:t>число пациентов с ОНМК, направленных на этап ранней медицинской реабилитации в стационарных</w:t>
      </w:r>
      <w:r>
        <w:t xml:space="preserve"> условиях х 100, к числу выписанных пациентов с ОНМК;</w:t>
      </w:r>
    </w:p>
    <w:p w14:paraId="6EBA814E" w14:textId="77777777" w:rsidR="00000000" w:rsidRDefault="00405FAE">
      <w:pPr>
        <w:pStyle w:val="ConsPlusNormal"/>
        <w:spacing w:before="200"/>
        <w:ind w:firstLine="540"/>
        <w:jc w:val="both"/>
      </w:pPr>
      <w:r>
        <w:t>целевой уровень - 60%.</w:t>
      </w:r>
    </w:p>
    <w:p w14:paraId="03FF8394" w14:textId="77777777" w:rsidR="00000000" w:rsidRDefault="00405FAE">
      <w:pPr>
        <w:pStyle w:val="ConsPlusNormal"/>
        <w:jc w:val="both"/>
      </w:pPr>
      <w:r>
        <w:t>(пп. 3.5 введен приказом Минздрава от 02.04.2024 N 464)</w:t>
      </w:r>
    </w:p>
    <w:p w14:paraId="7C676A27" w14:textId="77777777" w:rsidR="00000000" w:rsidRDefault="00405FAE">
      <w:pPr>
        <w:pStyle w:val="ConsPlusNormal"/>
      </w:pPr>
    </w:p>
    <w:p w14:paraId="26604C83" w14:textId="77777777" w:rsidR="00000000" w:rsidRDefault="00405FAE">
      <w:pPr>
        <w:pStyle w:val="ConsPlusNormal"/>
      </w:pPr>
    </w:p>
    <w:p w14:paraId="5763F842" w14:textId="77777777" w:rsidR="00000000" w:rsidRDefault="00405F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37DE6F" w14:textId="77777777" w:rsidR="00000000" w:rsidRDefault="00405FAE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AE"/>
    <w:rsid w:val="004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AB7FF"/>
  <w14:defaultImageDpi w14:val="0"/>
  <w15:docId w15:val="{7DF4DAF7-62E8-42F5-BC05-94F738A2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4118</Words>
  <Characters>23477</Characters>
  <Application>Microsoft Office Word</Application>
  <DocSecurity>2</DocSecurity>
  <Lines>195</Lines>
  <Paragraphs>55</Paragraphs>
  <ScaleCrop>false</ScaleCrop>
  <Company>КонсультантПлюс Версия 4020.00.55</Company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2026-05-29T13:19:00Z</dcterms:created>
  <dcterms:modified xsi:type="dcterms:W3CDTF">2026-05-29T13:19:00Z</dcterms:modified>
</cp:coreProperties>
</file>